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DDEE4" w14:textId="77777777" w:rsidR="00A47763" w:rsidRPr="00D043C5" w:rsidRDefault="00A47763" w:rsidP="00514B3B">
      <w:pPr>
        <w:spacing w:line="276" w:lineRule="auto"/>
        <w:jc w:val="center"/>
        <w:rPr>
          <w:rFonts w:ascii="Arial" w:hAnsi="Arial" w:cs="Arial"/>
          <w:lang w:val="de-DE"/>
        </w:rPr>
      </w:pPr>
      <w:bookmarkStart w:id="0" w:name="_Hlk78908018"/>
    </w:p>
    <w:p w14:paraId="3EC3B690" w14:textId="4BDDAEA9" w:rsidR="0017702E" w:rsidRPr="00D043C5" w:rsidRDefault="007F4087" w:rsidP="1E14EC41">
      <w:pPr>
        <w:spacing w:before="100" w:beforeAutospacing="1" w:after="40" w:line="276" w:lineRule="auto"/>
        <w:jc w:val="center"/>
        <w:rPr>
          <w:rFonts w:ascii="Arial" w:hAnsi="Arial" w:cs="Arial"/>
          <w:b/>
          <w:bCs/>
          <w:sz w:val="28"/>
          <w:szCs w:val="28"/>
        </w:rPr>
      </w:pPr>
      <w:r w:rsidRPr="00D043C5">
        <w:rPr>
          <w:rFonts w:ascii="Arial" w:hAnsi="Arial" w:cs="Arial"/>
          <w:b/>
          <w:bCs/>
          <w:sz w:val="28"/>
          <w:szCs w:val="28"/>
        </w:rPr>
        <w:t>Savills I</w:t>
      </w:r>
      <w:r w:rsidR="0017702E" w:rsidRPr="00D043C5">
        <w:rPr>
          <w:rFonts w:ascii="Arial" w:hAnsi="Arial" w:cs="Arial"/>
          <w:b/>
          <w:bCs/>
          <w:sz w:val="28"/>
          <w:szCs w:val="28"/>
        </w:rPr>
        <w:t xml:space="preserve">nvestment Management </w:t>
      </w:r>
      <w:r w:rsidRPr="00D043C5">
        <w:rPr>
          <w:rFonts w:ascii="Arial" w:hAnsi="Arial" w:cs="Arial"/>
          <w:b/>
          <w:bCs/>
          <w:sz w:val="28"/>
          <w:szCs w:val="28"/>
        </w:rPr>
        <w:t>Outlook</w:t>
      </w:r>
      <w:r w:rsidR="0017702E" w:rsidRPr="00D043C5">
        <w:rPr>
          <w:rFonts w:ascii="Arial" w:hAnsi="Arial" w:cs="Arial"/>
          <w:b/>
          <w:bCs/>
          <w:sz w:val="28"/>
          <w:szCs w:val="28"/>
        </w:rPr>
        <w:t xml:space="preserve"> 202</w:t>
      </w:r>
      <w:r w:rsidR="00015045" w:rsidRPr="00D043C5">
        <w:rPr>
          <w:rFonts w:ascii="Arial" w:hAnsi="Arial" w:cs="Arial"/>
          <w:b/>
          <w:bCs/>
          <w:sz w:val="28"/>
          <w:szCs w:val="28"/>
        </w:rPr>
        <w:t>4</w:t>
      </w:r>
      <w:r w:rsidRPr="00D043C5">
        <w:rPr>
          <w:rFonts w:ascii="Arial" w:hAnsi="Arial" w:cs="Arial"/>
          <w:b/>
          <w:bCs/>
          <w:sz w:val="28"/>
          <w:szCs w:val="28"/>
        </w:rPr>
        <w:t xml:space="preserve">: </w:t>
      </w:r>
    </w:p>
    <w:p w14:paraId="0299DB21" w14:textId="700C94F0" w:rsidR="1E14EC41" w:rsidRPr="00D043C5" w:rsidRDefault="007F29C8" w:rsidP="66CE0358">
      <w:pPr>
        <w:spacing w:beforeAutospacing="1" w:after="120" w:line="276" w:lineRule="auto"/>
        <w:jc w:val="center"/>
        <w:rPr>
          <w:rFonts w:ascii="Arial" w:hAnsi="Arial" w:cs="Arial"/>
          <w:b/>
          <w:bCs/>
        </w:rPr>
      </w:pPr>
      <w:r w:rsidRPr="00D043C5">
        <w:rPr>
          <w:rStyle w:val="normaltextrun"/>
          <w:rFonts w:ascii="Arial" w:hAnsi="Arial" w:cs="Arial"/>
          <w:b/>
          <w:bCs/>
          <w:color w:val="000000"/>
          <w:sz w:val="28"/>
          <w:szCs w:val="28"/>
          <w:shd w:val="clear" w:color="auto" w:fill="FFFFFF"/>
        </w:rPr>
        <w:t>2024</w:t>
      </w:r>
      <w:r w:rsidR="006F3564" w:rsidRPr="00D043C5">
        <w:rPr>
          <w:rStyle w:val="normaltextrun"/>
          <w:rFonts w:ascii="Arial" w:hAnsi="Arial" w:cs="Arial"/>
          <w:b/>
          <w:bCs/>
          <w:color w:val="000000"/>
          <w:sz w:val="28"/>
          <w:szCs w:val="28"/>
          <w:shd w:val="clear" w:color="auto" w:fill="FFFFFF"/>
        </w:rPr>
        <w:t xml:space="preserve"> </w:t>
      </w:r>
      <w:r w:rsidR="00C443E3" w:rsidRPr="00D043C5">
        <w:rPr>
          <w:rStyle w:val="normaltextrun"/>
          <w:rFonts w:ascii="Arial" w:hAnsi="Arial" w:cs="Arial"/>
          <w:b/>
          <w:bCs/>
          <w:color w:val="000000"/>
          <w:sz w:val="28"/>
          <w:szCs w:val="28"/>
          <w:shd w:val="clear" w:color="auto" w:fill="FFFFFF"/>
        </w:rPr>
        <w:t xml:space="preserve">promises target-rich </w:t>
      </w:r>
      <w:r w:rsidR="008A6118" w:rsidRPr="00D043C5">
        <w:rPr>
          <w:rStyle w:val="normaltextrun"/>
          <w:rFonts w:ascii="Arial" w:hAnsi="Arial" w:cs="Arial"/>
          <w:b/>
          <w:bCs/>
          <w:color w:val="000000"/>
          <w:sz w:val="28"/>
          <w:szCs w:val="28"/>
          <w:shd w:val="clear" w:color="auto" w:fill="FFFFFF"/>
        </w:rPr>
        <w:t>investment</w:t>
      </w:r>
      <w:r w:rsidR="00C443E3" w:rsidRPr="00D043C5">
        <w:rPr>
          <w:rStyle w:val="normaltextrun"/>
          <w:rFonts w:ascii="Arial" w:hAnsi="Arial" w:cs="Arial"/>
          <w:b/>
          <w:bCs/>
          <w:color w:val="000000"/>
          <w:sz w:val="28"/>
          <w:szCs w:val="28"/>
          <w:shd w:val="clear" w:color="auto" w:fill="FFFFFF"/>
        </w:rPr>
        <w:t xml:space="preserve"> environment across</w:t>
      </w:r>
      <w:r w:rsidR="00C1589E" w:rsidRPr="00D043C5">
        <w:rPr>
          <w:rStyle w:val="normaltextrun"/>
          <w:rFonts w:ascii="Arial" w:hAnsi="Arial" w:cs="Arial"/>
          <w:b/>
          <w:bCs/>
          <w:color w:val="000000"/>
          <w:sz w:val="28"/>
          <w:szCs w:val="28"/>
          <w:shd w:val="clear" w:color="auto" w:fill="FFFFFF"/>
        </w:rPr>
        <w:t xml:space="preserve"> </w:t>
      </w:r>
      <w:r w:rsidR="0E5C42CC" w:rsidRPr="00D043C5">
        <w:rPr>
          <w:rStyle w:val="normaltextrun"/>
          <w:rFonts w:ascii="Arial" w:hAnsi="Arial" w:cs="Arial"/>
          <w:b/>
          <w:bCs/>
          <w:color w:val="000000"/>
          <w:sz w:val="28"/>
          <w:szCs w:val="28"/>
          <w:shd w:val="clear" w:color="auto" w:fill="FFFFFF"/>
        </w:rPr>
        <w:t xml:space="preserve">Living, </w:t>
      </w:r>
      <w:r w:rsidR="006F3564" w:rsidRPr="00D043C5">
        <w:rPr>
          <w:rStyle w:val="normaltextrun"/>
          <w:rFonts w:ascii="Arial" w:hAnsi="Arial" w:cs="Arial"/>
          <w:b/>
          <w:bCs/>
          <w:color w:val="000000"/>
          <w:sz w:val="28"/>
          <w:szCs w:val="28"/>
          <w:shd w:val="clear" w:color="auto" w:fill="FFFFFF"/>
        </w:rPr>
        <w:t>Industrial &amp; Logistics</w:t>
      </w:r>
      <w:r w:rsidR="00F5270C" w:rsidRPr="00D043C5">
        <w:rPr>
          <w:rStyle w:val="normaltextrun"/>
          <w:rFonts w:ascii="Arial" w:hAnsi="Arial" w:cs="Arial"/>
          <w:b/>
          <w:bCs/>
          <w:color w:val="000000"/>
          <w:sz w:val="28"/>
          <w:szCs w:val="28"/>
          <w:shd w:val="clear" w:color="auto" w:fill="FFFFFF"/>
        </w:rPr>
        <w:t>,</w:t>
      </w:r>
      <w:r w:rsidR="006F3564" w:rsidRPr="00D043C5">
        <w:rPr>
          <w:rStyle w:val="normaltextrun"/>
          <w:rFonts w:ascii="Arial" w:hAnsi="Arial" w:cs="Arial"/>
          <w:b/>
          <w:bCs/>
          <w:color w:val="000000"/>
          <w:sz w:val="28"/>
          <w:szCs w:val="28"/>
          <w:shd w:val="clear" w:color="auto" w:fill="FFFFFF"/>
        </w:rPr>
        <w:t xml:space="preserve"> </w:t>
      </w:r>
      <w:r w:rsidR="5A195C34" w:rsidRPr="00D043C5">
        <w:rPr>
          <w:rStyle w:val="normaltextrun"/>
          <w:rFonts w:ascii="Arial" w:hAnsi="Arial" w:cs="Arial"/>
          <w:b/>
          <w:bCs/>
          <w:color w:val="000000"/>
          <w:sz w:val="28"/>
          <w:szCs w:val="28"/>
          <w:shd w:val="clear" w:color="auto" w:fill="FFFFFF"/>
        </w:rPr>
        <w:t xml:space="preserve">Debt and </w:t>
      </w:r>
      <w:r w:rsidR="6E2F8832" w:rsidRPr="00D043C5">
        <w:rPr>
          <w:rStyle w:val="normaltextrun"/>
          <w:rFonts w:ascii="Arial" w:hAnsi="Arial" w:cs="Arial"/>
          <w:b/>
          <w:bCs/>
          <w:color w:val="000000"/>
          <w:sz w:val="28"/>
          <w:szCs w:val="28"/>
          <w:shd w:val="clear" w:color="auto" w:fill="FFFFFF"/>
        </w:rPr>
        <w:t>Natural Capital</w:t>
      </w:r>
      <w:r w:rsidR="044D0708" w:rsidRPr="00D043C5">
        <w:rPr>
          <w:rStyle w:val="normaltextrun"/>
          <w:rFonts w:ascii="Arial" w:hAnsi="Arial" w:cs="Arial"/>
          <w:b/>
          <w:bCs/>
          <w:color w:val="000000"/>
          <w:sz w:val="28"/>
          <w:szCs w:val="28"/>
          <w:shd w:val="clear" w:color="auto" w:fill="FFFFFF"/>
        </w:rPr>
        <w:t>.</w:t>
      </w:r>
      <w:r w:rsidR="6E2F8832" w:rsidRPr="00D043C5">
        <w:rPr>
          <w:rStyle w:val="normaltextrun"/>
          <w:rFonts w:ascii="Arial" w:hAnsi="Arial" w:cs="Arial"/>
          <w:b/>
          <w:bCs/>
          <w:color w:val="000000"/>
          <w:sz w:val="28"/>
          <w:szCs w:val="28"/>
          <w:shd w:val="clear" w:color="auto" w:fill="FFFFFF"/>
        </w:rPr>
        <w:t xml:space="preserve"> </w:t>
      </w:r>
    </w:p>
    <w:p w14:paraId="33E9FA35" w14:textId="2DDC1594" w:rsidR="0019627E" w:rsidRPr="00D043C5" w:rsidRDefault="00B668BE" w:rsidP="1E14EC41">
      <w:pPr>
        <w:spacing w:before="100" w:beforeAutospacing="1" w:after="120" w:line="276" w:lineRule="auto"/>
        <w:jc w:val="both"/>
        <w:rPr>
          <w:rFonts w:ascii="Arial" w:hAnsi="Arial" w:cs="Arial"/>
        </w:rPr>
      </w:pPr>
      <w:r w:rsidRPr="00D043C5">
        <w:rPr>
          <w:rFonts w:ascii="Arial" w:hAnsi="Arial" w:cs="Arial"/>
          <w:b/>
          <w:bCs/>
        </w:rPr>
        <w:t xml:space="preserve">London, </w:t>
      </w:r>
      <w:r w:rsidR="0025377B">
        <w:rPr>
          <w:rFonts w:ascii="Arial" w:hAnsi="Arial" w:cs="Arial"/>
          <w:b/>
          <w:bCs/>
        </w:rPr>
        <w:t>5</w:t>
      </w:r>
      <w:r w:rsidRPr="00D043C5">
        <w:rPr>
          <w:rFonts w:ascii="Arial" w:hAnsi="Arial" w:cs="Arial"/>
          <w:b/>
          <w:bCs/>
        </w:rPr>
        <w:t xml:space="preserve"> December 2023, </w:t>
      </w:r>
      <w:r w:rsidRPr="00D043C5">
        <w:rPr>
          <w:rFonts w:ascii="Arial" w:hAnsi="Arial" w:cs="Arial"/>
        </w:rPr>
        <w:t xml:space="preserve">Savills Investment Management (Savills IM), the international real estate investment manager, today </w:t>
      </w:r>
      <w:r w:rsidR="00B45985" w:rsidRPr="00D043C5">
        <w:rPr>
          <w:rFonts w:ascii="Arial" w:hAnsi="Arial" w:cs="Arial"/>
        </w:rPr>
        <w:t>announces</w:t>
      </w:r>
      <w:r w:rsidRPr="00D043C5">
        <w:rPr>
          <w:rFonts w:ascii="Arial" w:hAnsi="Arial" w:cs="Arial"/>
        </w:rPr>
        <w:t xml:space="preserve"> its global outlook for real estate investment markets in 2024</w:t>
      </w:r>
      <w:r w:rsidR="003B5642" w:rsidRPr="00D043C5">
        <w:rPr>
          <w:rFonts w:ascii="Arial" w:hAnsi="Arial" w:cs="Arial"/>
        </w:rPr>
        <w:t xml:space="preserve">, highlighting </w:t>
      </w:r>
      <w:r w:rsidR="00BD0932" w:rsidRPr="00D043C5">
        <w:rPr>
          <w:rFonts w:ascii="Arial" w:hAnsi="Arial" w:cs="Arial"/>
        </w:rPr>
        <w:t xml:space="preserve">several key sectors it believes offer </w:t>
      </w:r>
      <w:r w:rsidR="584696E2" w:rsidRPr="00D043C5">
        <w:rPr>
          <w:rFonts w:ascii="Arial" w:hAnsi="Arial" w:cs="Arial"/>
        </w:rPr>
        <w:t xml:space="preserve">rewarding </w:t>
      </w:r>
      <w:r w:rsidR="007A418F" w:rsidRPr="00D043C5">
        <w:rPr>
          <w:rFonts w:ascii="Arial" w:hAnsi="Arial" w:cs="Arial"/>
        </w:rPr>
        <w:t xml:space="preserve"> opportunities for informed investors. </w:t>
      </w:r>
      <w:r w:rsidR="0019627E" w:rsidRPr="00D043C5">
        <w:rPr>
          <w:rFonts w:ascii="Arial" w:hAnsi="Arial" w:cs="Arial"/>
        </w:rPr>
        <w:t xml:space="preserve">The report offers insights on ten questions that Savills IM analysts believe investors should </w:t>
      </w:r>
      <w:r w:rsidR="00646E07" w:rsidRPr="00D043C5">
        <w:rPr>
          <w:rFonts w:ascii="Arial" w:hAnsi="Arial" w:cs="Arial"/>
        </w:rPr>
        <w:t xml:space="preserve">seek </w:t>
      </w:r>
      <w:r w:rsidR="6E389981" w:rsidRPr="00D043C5">
        <w:rPr>
          <w:rFonts w:ascii="Arial" w:hAnsi="Arial" w:cs="Arial"/>
        </w:rPr>
        <w:t>to answer</w:t>
      </w:r>
      <w:r w:rsidR="00646E07" w:rsidRPr="00D043C5">
        <w:rPr>
          <w:rFonts w:ascii="Arial" w:hAnsi="Arial" w:cs="Arial"/>
        </w:rPr>
        <w:t xml:space="preserve"> before allocating in 2024.</w:t>
      </w:r>
    </w:p>
    <w:p w14:paraId="776FF5CA" w14:textId="13537140" w:rsidR="00A47763" w:rsidRPr="00D043C5" w:rsidRDefault="00153A2D" w:rsidP="1E14EC41">
      <w:pPr>
        <w:spacing w:before="100" w:beforeAutospacing="1" w:after="120" w:line="276" w:lineRule="auto"/>
        <w:jc w:val="both"/>
        <w:rPr>
          <w:rFonts w:ascii="Arial" w:hAnsi="Arial" w:cs="Arial"/>
        </w:rPr>
      </w:pPr>
      <w:r w:rsidRPr="00D043C5">
        <w:rPr>
          <w:rFonts w:ascii="Arial" w:hAnsi="Arial" w:cs="Arial"/>
        </w:rPr>
        <w:t>Although</w:t>
      </w:r>
      <w:r w:rsidR="00EB6D2D" w:rsidRPr="00D043C5">
        <w:rPr>
          <w:rFonts w:ascii="Arial" w:hAnsi="Arial" w:cs="Arial"/>
        </w:rPr>
        <w:t xml:space="preserve"> </w:t>
      </w:r>
      <w:r w:rsidR="00E348A0" w:rsidRPr="00D043C5">
        <w:rPr>
          <w:rFonts w:ascii="Arial" w:hAnsi="Arial" w:cs="Arial"/>
        </w:rPr>
        <w:t xml:space="preserve">higher </w:t>
      </w:r>
      <w:r w:rsidR="7E7E26CF" w:rsidRPr="00D043C5">
        <w:rPr>
          <w:rFonts w:ascii="Arial" w:hAnsi="Arial" w:cs="Arial"/>
        </w:rPr>
        <w:t>inflation</w:t>
      </w:r>
      <w:r w:rsidR="00E348A0" w:rsidRPr="00D043C5">
        <w:rPr>
          <w:rFonts w:ascii="Arial" w:hAnsi="Arial" w:cs="Arial"/>
        </w:rPr>
        <w:t xml:space="preserve"> </w:t>
      </w:r>
      <w:r w:rsidR="0022457D" w:rsidRPr="00D043C5">
        <w:rPr>
          <w:rFonts w:ascii="Arial" w:hAnsi="Arial" w:cs="Arial"/>
        </w:rPr>
        <w:t>and bond yields provide</w:t>
      </w:r>
      <w:r w:rsidR="001B6758" w:rsidRPr="00D043C5">
        <w:rPr>
          <w:rFonts w:ascii="Arial" w:hAnsi="Arial" w:cs="Arial"/>
        </w:rPr>
        <w:t xml:space="preserve"> a</w:t>
      </w:r>
      <w:r w:rsidR="0022457D" w:rsidRPr="00D043C5">
        <w:rPr>
          <w:rFonts w:ascii="Arial" w:hAnsi="Arial" w:cs="Arial"/>
        </w:rPr>
        <w:t xml:space="preserve"> challenging backdrop for the sector in 2024, </w:t>
      </w:r>
      <w:r w:rsidR="00B45985" w:rsidRPr="00D043C5">
        <w:rPr>
          <w:rFonts w:ascii="Arial" w:hAnsi="Arial" w:cs="Arial"/>
        </w:rPr>
        <w:t xml:space="preserve">Savills IM believes that </w:t>
      </w:r>
      <w:r w:rsidR="00401AA5" w:rsidRPr="00D043C5">
        <w:rPr>
          <w:rFonts w:ascii="Arial" w:hAnsi="Arial" w:cs="Arial"/>
        </w:rPr>
        <w:t xml:space="preserve">real estate </w:t>
      </w:r>
      <w:r w:rsidR="001B6758" w:rsidRPr="00D043C5">
        <w:rPr>
          <w:rFonts w:ascii="Arial" w:hAnsi="Arial" w:cs="Arial"/>
        </w:rPr>
        <w:t>will c</w:t>
      </w:r>
      <w:r w:rsidR="00401AA5" w:rsidRPr="00D043C5">
        <w:rPr>
          <w:rFonts w:ascii="Arial" w:hAnsi="Arial" w:cs="Arial"/>
        </w:rPr>
        <w:t xml:space="preserve">ontinue to provide </w:t>
      </w:r>
      <w:r w:rsidR="00D31D42" w:rsidRPr="00D043C5">
        <w:rPr>
          <w:rFonts w:ascii="Arial" w:hAnsi="Arial" w:cs="Arial"/>
        </w:rPr>
        <w:t>highly attractive value creatio</w:t>
      </w:r>
      <w:r w:rsidR="00362115" w:rsidRPr="00D043C5">
        <w:rPr>
          <w:rFonts w:ascii="Arial" w:hAnsi="Arial" w:cs="Arial"/>
        </w:rPr>
        <w:t>n</w:t>
      </w:r>
      <w:r w:rsidR="00D31D42" w:rsidRPr="00D043C5">
        <w:rPr>
          <w:rFonts w:ascii="Arial" w:hAnsi="Arial" w:cs="Arial"/>
        </w:rPr>
        <w:t xml:space="preserve"> opportunities</w:t>
      </w:r>
      <w:r w:rsidR="003B31E0" w:rsidRPr="00D043C5">
        <w:rPr>
          <w:rFonts w:ascii="Arial" w:hAnsi="Arial" w:cs="Arial"/>
        </w:rPr>
        <w:t xml:space="preserve"> for investors </w:t>
      </w:r>
      <w:r w:rsidR="006015AB" w:rsidRPr="00D043C5">
        <w:rPr>
          <w:rFonts w:ascii="Arial" w:hAnsi="Arial" w:cs="Arial"/>
        </w:rPr>
        <w:t>through</w:t>
      </w:r>
      <w:r w:rsidR="003F0839" w:rsidRPr="00D043C5">
        <w:rPr>
          <w:rFonts w:ascii="Arial" w:hAnsi="Arial" w:cs="Arial"/>
        </w:rPr>
        <w:t xml:space="preserve"> compelling yield</w:t>
      </w:r>
      <w:r w:rsidR="00EA65D8" w:rsidRPr="00D043C5">
        <w:rPr>
          <w:rFonts w:ascii="Arial" w:hAnsi="Arial" w:cs="Arial"/>
        </w:rPr>
        <w:t>s</w:t>
      </w:r>
      <w:r w:rsidR="003F0839" w:rsidRPr="00D043C5">
        <w:rPr>
          <w:rFonts w:ascii="Arial" w:hAnsi="Arial" w:cs="Arial"/>
        </w:rPr>
        <w:t xml:space="preserve">, </w:t>
      </w:r>
      <w:r w:rsidR="00B668BE" w:rsidRPr="00D043C5">
        <w:rPr>
          <w:rFonts w:ascii="Arial" w:hAnsi="Arial" w:cs="Arial"/>
        </w:rPr>
        <w:t>capital protection or capital growth</w:t>
      </w:r>
      <w:r w:rsidR="00A47763" w:rsidRPr="00D043C5">
        <w:rPr>
          <w:rFonts w:ascii="Arial" w:hAnsi="Arial" w:cs="Arial"/>
        </w:rPr>
        <w:t xml:space="preserve">.  </w:t>
      </w:r>
    </w:p>
    <w:p w14:paraId="27E0A1AE" w14:textId="032C515C" w:rsidR="00A47763" w:rsidRPr="00D043C5" w:rsidRDefault="00A47763" w:rsidP="1E14EC41">
      <w:pPr>
        <w:spacing w:before="100" w:beforeAutospacing="1" w:after="120" w:line="276" w:lineRule="auto"/>
        <w:jc w:val="both"/>
        <w:rPr>
          <w:rFonts w:ascii="Arial" w:hAnsi="Arial" w:cs="Arial"/>
        </w:rPr>
      </w:pPr>
      <w:r w:rsidRPr="00D043C5">
        <w:rPr>
          <w:rFonts w:ascii="Arial" w:hAnsi="Arial" w:cs="Arial"/>
        </w:rPr>
        <w:t>Savills IM identifies the threats to the near-term macro picture, the most notable being</w:t>
      </w:r>
      <w:r w:rsidR="001A6047" w:rsidRPr="00D043C5">
        <w:rPr>
          <w:rFonts w:ascii="Arial" w:hAnsi="Arial" w:cs="Arial"/>
        </w:rPr>
        <w:t xml:space="preserve"> a cautious approach from central banks</w:t>
      </w:r>
      <w:r w:rsidR="00331251" w:rsidRPr="00D043C5">
        <w:rPr>
          <w:rFonts w:ascii="Arial" w:hAnsi="Arial" w:cs="Arial"/>
        </w:rPr>
        <w:t xml:space="preserve"> </w:t>
      </w:r>
      <w:r w:rsidR="0010368B" w:rsidRPr="00D043C5">
        <w:rPr>
          <w:rFonts w:ascii="Arial" w:hAnsi="Arial" w:cs="Arial"/>
        </w:rPr>
        <w:t>to</w:t>
      </w:r>
      <w:r w:rsidR="00331251" w:rsidRPr="00D043C5">
        <w:rPr>
          <w:rFonts w:ascii="Arial" w:hAnsi="Arial" w:cs="Arial"/>
        </w:rPr>
        <w:t xml:space="preserve"> inflation</w:t>
      </w:r>
      <w:r w:rsidRPr="00D043C5">
        <w:rPr>
          <w:rFonts w:ascii="Arial" w:hAnsi="Arial" w:cs="Arial"/>
        </w:rPr>
        <w:t>.</w:t>
      </w:r>
      <w:r w:rsidR="00004FA2" w:rsidRPr="00D043C5">
        <w:rPr>
          <w:rFonts w:ascii="Arial" w:hAnsi="Arial" w:cs="Arial"/>
        </w:rPr>
        <w:t xml:space="preserve"> </w:t>
      </w:r>
      <w:r w:rsidR="00344DC1" w:rsidRPr="00D043C5">
        <w:rPr>
          <w:rFonts w:ascii="Arial" w:hAnsi="Arial" w:cs="Arial"/>
        </w:rPr>
        <w:t>While</w:t>
      </w:r>
      <w:r w:rsidR="00004FA2" w:rsidRPr="00D043C5">
        <w:rPr>
          <w:rFonts w:ascii="Arial" w:hAnsi="Arial" w:cs="Arial"/>
        </w:rPr>
        <w:t xml:space="preserve"> interest rates </w:t>
      </w:r>
      <w:r w:rsidR="0091421E" w:rsidRPr="00D043C5">
        <w:rPr>
          <w:rFonts w:ascii="Arial" w:hAnsi="Arial" w:cs="Arial"/>
        </w:rPr>
        <w:t xml:space="preserve">may </w:t>
      </w:r>
      <w:r w:rsidR="00004FA2" w:rsidRPr="00D043C5">
        <w:rPr>
          <w:rFonts w:ascii="Arial" w:hAnsi="Arial" w:cs="Arial"/>
        </w:rPr>
        <w:t>have peaked</w:t>
      </w:r>
      <w:r w:rsidR="006C7052" w:rsidRPr="00D043C5">
        <w:rPr>
          <w:rFonts w:ascii="Arial" w:hAnsi="Arial" w:cs="Arial"/>
        </w:rPr>
        <w:t xml:space="preserve">, </w:t>
      </w:r>
      <w:r w:rsidR="004F4E28" w:rsidRPr="00D043C5">
        <w:rPr>
          <w:rFonts w:ascii="Arial" w:hAnsi="Arial" w:cs="Arial"/>
        </w:rPr>
        <w:t xml:space="preserve">it is likely </w:t>
      </w:r>
      <w:r w:rsidR="00853A36" w:rsidRPr="00D043C5">
        <w:rPr>
          <w:rFonts w:ascii="Arial" w:hAnsi="Arial" w:cs="Arial"/>
        </w:rPr>
        <w:t>the</w:t>
      </w:r>
      <w:r w:rsidR="004F4E28" w:rsidRPr="00D043C5">
        <w:rPr>
          <w:rFonts w:ascii="Arial" w:hAnsi="Arial" w:cs="Arial"/>
        </w:rPr>
        <w:t>y will remain</w:t>
      </w:r>
      <w:r w:rsidR="001F1F48" w:rsidRPr="00D043C5">
        <w:rPr>
          <w:rFonts w:ascii="Arial" w:hAnsi="Arial" w:cs="Arial"/>
        </w:rPr>
        <w:t xml:space="preserve"> high</w:t>
      </w:r>
      <w:r w:rsidR="0082546F" w:rsidRPr="00D043C5">
        <w:rPr>
          <w:rFonts w:ascii="Arial" w:hAnsi="Arial" w:cs="Arial"/>
        </w:rPr>
        <w:t>er</w:t>
      </w:r>
      <w:r w:rsidR="001F1F48" w:rsidRPr="00D043C5">
        <w:rPr>
          <w:rFonts w:ascii="Arial" w:hAnsi="Arial" w:cs="Arial"/>
        </w:rPr>
        <w:t xml:space="preserve">-for-longer </w:t>
      </w:r>
      <w:r w:rsidR="002B7934" w:rsidRPr="00D043C5">
        <w:rPr>
          <w:rFonts w:ascii="Arial" w:hAnsi="Arial" w:cs="Arial"/>
        </w:rPr>
        <w:t xml:space="preserve">with no respite until late </w:t>
      </w:r>
      <w:r w:rsidR="3E468868" w:rsidRPr="00D043C5">
        <w:rPr>
          <w:rFonts w:ascii="Arial" w:hAnsi="Arial" w:cs="Arial"/>
        </w:rPr>
        <w:t>2024</w:t>
      </w:r>
      <w:r w:rsidR="629D82F2" w:rsidRPr="00D043C5">
        <w:rPr>
          <w:rFonts w:ascii="Arial" w:hAnsi="Arial" w:cs="Arial"/>
        </w:rPr>
        <w:t>.</w:t>
      </w:r>
      <w:r w:rsidR="002B7934" w:rsidRPr="00D043C5">
        <w:rPr>
          <w:rFonts w:ascii="Arial" w:hAnsi="Arial" w:cs="Arial"/>
        </w:rPr>
        <w:t xml:space="preserve"> </w:t>
      </w:r>
      <w:r w:rsidR="0082546F" w:rsidRPr="00D043C5">
        <w:rPr>
          <w:rFonts w:ascii="Arial" w:hAnsi="Arial" w:cs="Arial"/>
        </w:rPr>
        <w:t xml:space="preserve">On this basis, </w:t>
      </w:r>
      <w:r w:rsidR="00F93921" w:rsidRPr="00D043C5">
        <w:rPr>
          <w:rFonts w:ascii="Arial" w:hAnsi="Arial" w:cs="Arial"/>
        </w:rPr>
        <w:t xml:space="preserve">Savills IM believes </w:t>
      </w:r>
      <w:r w:rsidR="0082546F" w:rsidRPr="00D043C5">
        <w:rPr>
          <w:rFonts w:ascii="Arial" w:hAnsi="Arial" w:cs="Arial"/>
        </w:rPr>
        <w:t xml:space="preserve">it is important to focus on fundamentals </w:t>
      </w:r>
      <w:r w:rsidR="00F93921" w:rsidRPr="00D043C5">
        <w:rPr>
          <w:rFonts w:ascii="Arial" w:hAnsi="Arial" w:cs="Arial"/>
        </w:rPr>
        <w:t xml:space="preserve">when </w:t>
      </w:r>
      <w:r w:rsidR="00421EAE" w:rsidRPr="00D043C5">
        <w:rPr>
          <w:rFonts w:ascii="Arial" w:hAnsi="Arial" w:cs="Arial"/>
        </w:rPr>
        <w:t>identify</w:t>
      </w:r>
      <w:r w:rsidR="00F93921" w:rsidRPr="00D043C5">
        <w:rPr>
          <w:rFonts w:ascii="Arial" w:hAnsi="Arial" w:cs="Arial"/>
        </w:rPr>
        <w:t>ing</w:t>
      </w:r>
      <w:r w:rsidR="00421EAE" w:rsidRPr="00D043C5">
        <w:rPr>
          <w:rFonts w:ascii="Arial" w:hAnsi="Arial" w:cs="Arial"/>
        </w:rPr>
        <w:t xml:space="preserve"> opportunities within real estate. </w:t>
      </w:r>
    </w:p>
    <w:p w14:paraId="7FD69D5B" w14:textId="5639F73C" w:rsidR="00A47763" w:rsidRPr="00D043C5" w:rsidRDefault="009E620F" w:rsidP="1E14EC41">
      <w:pPr>
        <w:spacing w:before="100" w:beforeAutospacing="1" w:after="120" w:line="276" w:lineRule="auto"/>
        <w:jc w:val="both"/>
        <w:rPr>
          <w:rFonts w:ascii="Arial" w:hAnsi="Arial" w:cs="Arial"/>
        </w:rPr>
      </w:pPr>
      <w:r w:rsidRPr="00D043C5">
        <w:rPr>
          <w:rFonts w:ascii="Arial" w:hAnsi="Arial" w:cs="Arial"/>
        </w:rPr>
        <w:t>According to Savills IM, t</w:t>
      </w:r>
      <w:r w:rsidR="006456A7" w:rsidRPr="00D043C5">
        <w:rPr>
          <w:rFonts w:ascii="Arial" w:hAnsi="Arial" w:cs="Arial"/>
        </w:rPr>
        <w:t xml:space="preserve">he road to net zero and </w:t>
      </w:r>
      <w:r w:rsidR="00A560F1" w:rsidRPr="00D043C5">
        <w:rPr>
          <w:rFonts w:ascii="Arial" w:hAnsi="Arial" w:cs="Arial"/>
        </w:rPr>
        <w:t>sustainability efforts also remain at the forefront for investors</w:t>
      </w:r>
      <w:r w:rsidR="009414D8" w:rsidRPr="00D043C5">
        <w:rPr>
          <w:rFonts w:ascii="Arial" w:hAnsi="Arial" w:cs="Arial"/>
        </w:rPr>
        <w:t xml:space="preserve">, </w:t>
      </w:r>
      <w:r w:rsidR="006F41C7" w:rsidRPr="00D043C5">
        <w:rPr>
          <w:rFonts w:ascii="Arial" w:hAnsi="Arial" w:cs="Arial"/>
        </w:rPr>
        <w:t xml:space="preserve">and measures to </w:t>
      </w:r>
      <w:r w:rsidR="00F76C78" w:rsidRPr="00D043C5">
        <w:rPr>
          <w:rFonts w:ascii="Arial" w:hAnsi="Arial" w:cs="Arial"/>
        </w:rPr>
        <w:t xml:space="preserve">reduce </w:t>
      </w:r>
      <w:r w:rsidR="0367FEFF" w:rsidRPr="00D043C5">
        <w:rPr>
          <w:rFonts w:ascii="Arial" w:hAnsi="Arial" w:cs="Arial"/>
        </w:rPr>
        <w:t xml:space="preserve">buildings’ </w:t>
      </w:r>
      <w:r w:rsidR="00F76C78" w:rsidRPr="00D043C5">
        <w:rPr>
          <w:rFonts w:ascii="Arial" w:hAnsi="Arial" w:cs="Arial"/>
        </w:rPr>
        <w:t xml:space="preserve">operational costs and protect against obsolescence due to regulatory demands continue to be an imperative. </w:t>
      </w:r>
    </w:p>
    <w:p w14:paraId="019B427F" w14:textId="02967C51" w:rsidR="005C5556" w:rsidRPr="00D043C5" w:rsidRDefault="00C36069" w:rsidP="1E14EC41">
      <w:pPr>
        <w:spacing w:before="100" w:beforeAutospacing="1" w:after="120" w:line="276" w:lineRule="auto"/>
        <w:jc w:val="both"/>
        <w:rPr>
          <w:rFonts w:ascii="Arial" w:hAnsi="Arial" w:cs="Arial"/>
          <w:b/>
          <w:bCs/>
        </w:rPr>
      </w:pPr>
      <w:r w:rsidRPr="00D043C5">
        <w:rPr>
          <w:rFonts w:ascii="Arial" w:hAnsi="Arial" w:cs="Arial"/>
          <w:b/>
          <w:bCs/>
        </w:rPr>
        <w:t>Is now the time for</w:t>
      </w:r>
      <w:r w:rsidR="006A70A6" w:rsidRPr="00D043C5">
        <w:rPr>
          <w:rFonts w:ascii="Arial" w:hAnsi="Arial" w:cs="Arial"/>
          <w:b/>
          <w:bCs/>
        </w:rPr>
        <w:t xml:space="preserve"> real estate</w:t>
      </w:r>
      <w:r w:rsidRPr="00D043C5">
        <w:rPr>
          <w:rFonts w:ascii="Arial" w:hAnsi="Arial" w:cs="Arial"/>
          <w:b/>
          <w:bCs/>
        </w:rPr>
        <w:t xml:space="preserve"> debt?</w:t>
      </w:r>
    </w:p>
    <w:p w14:paraId="31D60FDB" w14:textId="788BB7FF" w:rsidR="00F50BB3" w:rsidRPr="00D043C5" w:rsidRDefault="00A47763" w:rsidP="1E14EC41">
      <w:pPr>
        <w:spacing w:before="100" w:beforeAutospacing="1" w:after="120" w:line="276" w:lineRule="auto"/>
        <w:jc w:val="both"/>
        <w:rPr>
          <w:rFonts w:ascii="Arial" w:hAnsi="Arial" w:cs="Arial"/>
        </w:rPr>
      </w:pPr>
      <w:r w:rsidRPr="00D043C5">
        <w:rPr>
          <w:rFonts w:ascii="Arial" w:hAnsi="Arial" w:cs="Arial"/>
        </w:rPr>
        <w:t xml:space="preserve">In terms of </w:t>
      </w:r>
      <w:r w:rsidR="71BE5F64" w:rsidRPr="00D043C5">
        <w:rPr>
          <w:rFonts w:ascii="Arial" w:hAnsi="Arial" w:cs="Arial"/>
        </w:rPr>
        <w:t>strategies</w:t>
      </w:r>
      <w:r w:rsidRPr="00D043C5">
        <w:rPr>
          <w:rFonts w:ascii="Arial" w:hAnsi="Arial" w:cs="Arial"/>
        </w:rPr>
        <w:t xml:space="preserve">, Savills IM believes that </w:t>
      </w:r>
      <w:r w:rsidR="00157CED" w:rsidRPr="00D043C5">
        <w:rPr>
          <w:rFonts w:ascii="Arial" w:hAnsi="Arial" w:cs="Arial"/>
        </w:rPr>
        <w:t>now is the time for real estate investors to consider allocations to real estate deb</w:t>
      </w:r>
      <w:r w:rsidR="0055648B" w:rsidRPr="00D043C5">
        <w:rPr>
          <w:rFonts w:ascii="Arial" w:hAnsi="Arial" w:cs="Arial"/>
        </w:rPr>
        <w:t xml:space="preserve">t, a sector which </w:t>
      </w:r>
      <w:r w:rsidR="00F32BE9" w:rsidRPr="00D043C5">
        <w:rPr>
          <w:rFonts w:ascii="Arial" w:hAnsi="Arial" w:cs="Arial"/>
        </w:rPr>
        <w:t xml:space="preserve">is experiencing several supportive trends creating compelling opportunities. </w:t>
      </w:r>
      <w:r w:rsidR="001B7392" w:rsidRPr="00D043C5">
        <w:rPr>
          <w:rFonts w:ascii="Arial" w:hAnsi="Arial" w:cs="Arial"/>
        </w:rPr>
        <w:t>Declining availability of debt financing, real estate yield rerating and rising interest rates have created favourable return conditions</w:t>
      </w:r>
      <w:r w:rsidR="45609F99" w:rsidRPr="00D043C5">
        <w:rPr>
          <w:rFonts w:ascii="Arial" w:hAnsi="Arial" w:cs="Arial"/>
        </w:rPr>
        <w:t xml:space="preserve"> for those able to lend</w:t>
      </w:r>
      <w:r w:rsidR="101134C2" w:rsidRPr="00D043C5">
        <w:rPr>
          <w:rFonts w:ascii="Arial" w:hAnsi="Arial" w:cs="Arial"/>
        </w:rPr>
        <w:t>.</w:t>
      </w:r>
      <w:r w:rsidR="001B7392" w:rsidRPr="00D043C5">
        <w:rPr>
          <w:rFonts w:ascii="Arial" w:hAnsi="Arial" w:cs="Arial"/>
        </w:rPr>
        <w:t xml:space="preserve"> </w:t>
      </w:r>
      <w:r w:rsidR="00155122" w:rsidRPr="00D043C5">
        <w:rPr>
          <w:rFonts w:ascii="Arial" w:hAnsi="Arial" w:cs="Arial"/>
        </w:rPr>
        <w:t xml:space="preserve">The downside protection </w:t>
      </w:r>
      <w:r w:rsidR="122D8354" w:rsidRPr="00D043C5">
        <w:rPr>
          <w:rFonts w:ascii="Arial" w:hAnsi="Arial" w:cs="Arial"/>
        </w:rPr>
        <w:t>from</w:t>
      </w:r>
      <w:r w:rsidR="00155122" w:rsidRPr="00D043C5">
        <w:rPr>
          <w:rFonts w:ascii="Arial" w:hAnsi="Arial" w:cs="Arial"/>
        </w:rPr>
        <w:t xml:space="preserve"> </w:t>
      </w:r>
      <w:r w:rsidR="000C31B9" w:rsidRPr="00D043C5">
        <w:rPr>
          <w:rFonts w:ascii="Arial" w:hAnsi="Arial" w:cs="Arial"/>
        </w:rPr>
        <w:t xml:space="preserve">equity cushions provided by real estate debt </w:t>
      </w:r>
      <w:r w:rsidR="001C6436" w:rsidRPr="00D043C5">
        <w:rPr>
          <w:rFonts w:ascii="Arial" w:hAnsi="Arial" w:cs="Arial"/>
        </w:rPr>
        <w:t>are h</w:t>
      </w:r>
      <w:r w:rsidR="00D76B3D" w:rsidRPr="00D043C5">
        <w:rPr>
          <w:rFonts w:ascii="Arial" w:hAnsi="Arial" w:cs="Arial"/>
        </w:rPr>
        <w:t>ighly attractive to</w:t>
      </w:r>
      <w:r w:rsidR="000C31B9" w:rsidRPr="00D043C5">
        <w:rPr>
          <w:rFonts w:ascii="Arial" w:hAnsi="Arial" w:cs="Arial"/>
        </w:rPr>
        <w:t xml:space="preserve"> those investors looking for stable and secured income against a backdrop of market volatility and future uncertainty. </w:t>
      </w:r>
      <w:r w:rsidR="00131B53" w:rsidRPr="00D043C5">
        <w:rPr>
          <w:rFonts w:ascii="Arial" w:hAnsi="Arial" w:cs="Arial"/>
        </w:rPr>
        <w:t xml:space="preserve"> </w:t>
      </w:r>
    </w:p>
    <w:p w14:paraId="755EA822" w14:textId="587F9B9E" w:rsidR="006A70A6" w:rsidRPr="00D043C5" w:rsidRDefault="002578D1" w:rsidP="1E14EC41">
      <w:pPr>
        <w:spacing w:before="100" w:beforeAutospacing="1" w:after="120" w:line="276" w:lineRule="auto"/>
        <w:jc w:val="both"/>
        <w:rPr>
          <w:rFonts w:ascii="Arial" w:hAnsi="Arial" w:cs="Arial"/>
          <w:b/>
          <w:bCs/>
        </w:rPr>
      </w:pPr>
      <w:r w:rsidRPr="00D043C5">
        <w:rPr>
          <w:rFonts w:ascii="Arial" w:hAnsi="Arial" w:cs="Arial"/>
          <w:b/>
          <w:bCs/>
        </w:rPr>
        <w:t xml:space="preserve">Opportunities in affordable housing for institutional investors </w:t>
      </w:r>
    </w:p>
    <w:p w14:paraId="6ED868ED" w14:textId="679A0B5F" w:rsidR="00241EC5" w:rsidRPr="00D043C5" w:rsidRDefault="00241EC5" w:rsidP="1E14EC41">
      <w:pPr>
        <w:spacing w:before="100" w:beforeAutospacing="1" w:after="120" w:line="276" w:lineRule="auto"/>
        <w:jc w:val="both"/>
        <w:rPr>
          <w:rFonts w:ascii="Arial" w:hAnsi="Arial" w:cs="Arial"/>
        </w:rPr>
      </w:pPr>
      <w:r w:rsidRPr="00D043C5">
        <w:rPr>
          <w:rFonts w:ascii="Arial" w:hAnsi="Arial" w:cs="Arial"/>
        </w:rPr>
        <w:t xml:space="preserve">Elsewhere, affordable housing continues to </w:t>
      </w:r>
      <w:r w:rsidR="00A72995" w:rsidRPr="00D043C5">
        <w:rPr>
          <w:rFonts w:ascii="Arial" w:hAnsi="Arial" w:cs="Arial"/>
        </w:rPr>
        <w:t xml:space="preserve">be </w:t>
      </w:r>
      <w:r w:rsidR="00E523B4" w:rsidRPr="00D043C5">
        <w:rPr>
          <w:rFonts w:ascii="Arial" w:hAnsi="Arial" w:cs="Arial"/>
        </w:rPr>
        <w:t>driven by fundamental supply-</w:t>
      </w:r>
      <w:r w:rsidR="000E30DF" w:rsidRPr="00D043C5">
        <w:rPr>
          <w:rFonts w:ascii="Arial" w:hAnsi="Arial" w:cs="Arial"/>
        </w:rPr>
        <w:t>demand</w:t>
      </w:r>
      <w:r w:rsidR="00E523B4" w:rsidRPr="00D043C5">
        <w:rPr>
          <w:rFonts w:ascii="Arial" w:hAnsi="Arial" w:cs="Arial"/>
        </w:rPr>
        <w:t xml:space="preserve"> imbalances across all European markets</w:t>
      </w:r>
      <w:r w:rsidR="000E30DF" w:rsidRPr="00D043C5">
        <w:rPr>
          <w:rFonts w:ascii="Arial" w:hAnsi="Arial" w:cs="Arial"/>
        </w:rPr>
        <w:t xml:space="preserve">. Rent affordability is consequently the issue for residents, </w:t>
      </w:r>
      <w:r w:rsidR="008854BF" w:rsidRPr="00D043C5">
        <w:rPr>
          <w:rFonts w:ascii="Arial" w:hAnsi="Arial" w:cs="Arial"/>
        </w:rPr>
        <w:t>policymakers,</w:t>
      </w:r>
      <w:r w:rsidR="000E30DF" w:rsidRPr="00D043C5">
        <w:rPr>
          <w:rFonts w:ascii="Arial" w:hAnsi="Arial" w:cs="Arial"/>
        </w:rPr>
        <w:t xml:space="preserve"> and investors alike</w:t>
      </w:r>
      <w:r w:rsidR="125162B6" w:rsidRPr="00D043C5">
        <w:rPr>
          <w:rFonts w:ascii="Arial" w:hAnsi="Arial" w:cs="Arial"/>
        </w:rPr>
        <w:t xml:space="preserve">. In the year to 30 September 2023, </w:t>
      </w:r>
      <w:r w:rsidR="0063644B" w:rsidRPr="00D043C5">
        <w:rPr>
          <w:rFonts w:ascii="Arial" w:hAnsi="Arial" w:cs="Arial"/>
        </w:rPr>
        <w:t xml:space="preserve">average rent levels </w:t>
      </w:r>
      <w:r w:rsidR="4B39BF8B" w:rsidRPr="00D043C5">
        <w:rPr>
          <w:rFonts w:ascii="Arial" w:hAnsi="Arial" w:cs="Arial"/>
        </w:rPr>
        <w:t>rose</w:t>
      </w:r>
      <w:r w:rsidR="0063644B" w:rsidRPr="00D043C5">
        <w:rPr>
          <w:rFonts w:ascii="Arial" w:hAnsi="Arial" w:cs="Arial"/>
        </w:rPr>
        <w:t xml:space="preserve"> by 8.2% across Europe (ex-UK) and by 10% in the UK. </w:t>
      </w:r>
      <w:r w:rsidR="19EBA0DF" w:rsidRPr="00D043C5">
        <w:rPr>
          <w:rFonts w:ascii="Arial" w:hAnsi="Arial" w:cs="Arial"/>
        </w:rPr>
        <w:t>Against this backdrop, i</w:t>
      </w:r>
      <w:r w:rsidR="000F05B0" w:rsidRPr="00D043C5">
        <w:rPr>
          <w:rFonts w:ascii="Arial" w:hAnsi="Arial" w:cs="Arial"/>
        </w:rPr>
        <w:t>nstitutional investors have an opportunity to be part of the delivery of new supply in the long term</w:t>
      </w:r>
      <w:r w:rsidR="007D3C74" w:rsidRPr="00D043C5">
        <w:rPr>
          <w:rFonts w:ascii="Arial" w:hAnsi="Arial" w:cs="Arial"/>
        </w:rPr>
        <w:t>, and in the short term should ensure they are not overly reliant on market-rental growth</w:t>
      </w:r>
      <w:r w:rsidR="00806D92" w:rsidRPr="00D043C5">
        <w:rPr>
          <w:rFonts w:ascii="Arial" w:hAnsi="Arial" w:cs="Arial"/>
        </w:rPr>
        <w:t>, instead focusing on affordability and minimising cost leakage</w:t>
      </w:r>
      <w:r w:rsidR="00492733" w:rsidRPr="00D043C5">
        <w:rPr>
          <w:rFonts w:ascii="Arial" w:hAnsi="Arial" w:cs="Arial"/>
        </w:rPr>
        <w:t xml:space="preserve">. </w:t>
      </w:r>
      <w:r w:rsidR="00442103" w:rsidRPr="00D043C5">
        <w:rPr>
          <w:rFonts w:ascii="Arial" w:hAnsi="Arial" w:cs="Arial"/>
        </w:rPr>
        <w:t>Prioritising</w:t>
      </w:r>
      <w:r w:rsidR="00492733" w:rsidRPr="00D043C5">
        <w:rPr>
          <w:rFonts w:ascii="Arial" w:hAnsi="Arial" w:cs="Arial"/>
        </w:rPr>
        <w:t xml:space="preserve"> residents will ensure </w:t>
      </w:r>
      <w:r w:rsidR="00442103" w:rsidRPr="00D043C5">
        <w:rPr>
          <w:rFonts w:ascii="Arial" w:hAnsi="Arial" w:cs="Arial"/>
        </w:rPr>
        <w:t xml:space="preserve">longer tenancies, larger community benefits, and ultimately more stable income for investors. </w:t>
      </w:r>
    </w:p>
    <w:p w14:paraId="3B6643ED" w14:textId="41E1FCE0" w:rsidR="002578D1" w:rsidRPr="00D043C5" w:rsidRDefault="1EFD1E71" w:rsidP="1E14EC41">
      <w:pPr>
        <w:spacing w:before="100" w:beforeAutospacing="1" w:after="120" w:line="276" w:lineRule="auto"/>
        <w:jc w:val="both"/>
        <w:rPr>
          <w:rFonts w:ascii="Arial" w:hAnsi="Arial" w:cs="Arial"/>
          <w:b/>
          <w:bCs/>
        </w:rPr>
      </w:pPr>
      <w:r w:rsidRPr="00D043C5">
        <w:rPr>
          <w:rFonts w:ascii="Arial" w:hAnsi="Arial" w:cs="Arial"/>
          <w:b/>
          <w:bCs/>
        </w:rPr>
        <w:lastRenderedPageBreak/>
        <w:t>Strong rental growth in u</w:t>
      </w:r>
      <w:r w:rsidR="00572134" w:rsidRPr="00D043C5">
        <w:rPr>
          <w:rFonts w:ascii="Arial" w:hAnsi="Arial" w:cs="Arial"/>
          <w:b/>
          <w:bCs/>
        </w:rPr>
        <w:t>rban</w:t>
      </w:r>
      <w:r w:rsidR="002578D1" w:rsidRPr="00D043C5">
        <w:rPr>
          <w:rFonts w:ascii="Arial" w:hAnsi="Arial" w:cs="Arial"/>
          <w:b/>
          <w:bCs/>
        </w:rPr>
        <w:t xml:space="preserve"> industrial &amp; logistics </w:t>
      </w:r>
    </w:p>
    <w:p w14:paraId="1110DC41" w14:textId="1E8D2256" w:rsidR="00A47763" w:rsidRPr="00D043C5" w:rsidRDefault="360E4180" w:rsidP="1E14EC41">
      <w:pPr>
        <w:spacing w:before="100" w:beforeAutospacing="1" w:after="120" w:line="276" w:lineRule="auto"/>
        <w:jc w:val="both"/>
        <w:rPr>
          <w:rFonts w:ascii="Arial" w:hAnsi="Arial" w:cs="Arial"/>
        </w:rPr>
      </w:pPr>
      <w:r w:rsidRPr="00D043C5">
        <w:rPr>
          <w:rFonts w:ascii="Arial" w:hAnsi="Arial" w:cs="Arial"/>
        </w:rPr>
        <w:t>R</w:t>
      </w:r>
      <w:r w:rsidR="66150DAB" w:rsidRPr="00D043C5">
        <w:rPr>
          <w:rFonts w:ascii="Arial" w:hAnsi="Arial" w:cs="Arial"/>
        </w:rPr>
        <w:t>ent</w:t>
      </w:r>
      <w:r w:rsidR="25F8906C" w:rsidRPr="00D043C5">
        <w:rPr>
          <w:rFonts w:ascii="Arial" w:hAnsi="Arial" w:cs="Arial"/>
        </w:rPr>
        <w:t>s</w:t>
      </w:r>
      <w:r w:rsidR="000A6FD7" w:rsidRPr="00D043C5">
        <w:rPr>
          <w:rFonts w:ascii="Arial" w:hAnsi="Arial" w:cs="Arial"/>
        </w:rPr>
        <w:t xml:space="preserve"> for modern urban industrial and logistics buildings </w:t>
      </w:r>
      <w:r w:rsidR="00CB25FF" w:rsidRPr="00D043C5">
        <w:rPr>
          <w:rFonts w:ascii="Arial" w:hAnsi="Arial" w:cs="Arial"/>
        </w:rPr>
        <w:t>are set to grow strongly</w:t>
      </w:r>
      <w:r w:rsidR="0051423C" w:rsidRPr="00D043C5">
        <w:rPr>
          <w:rFonts w:ascii="Arial" w:hAnsi="Arial" w:cs="Arial"/>
        </w:rPr>
        <w:t xml:space="preserve"> over 2024</w:t>
      </w:r>
      <w:r w:rsidR="00CB25FF" w:rsidRPr="00D043C5">
        <w:rPr>
          <w:rFonts w:ascii="Arial" w:hAnsi="Arial" w:cs="Arial"/>
        </w:rPr>
        <w:t xml:space="preserve">, particularly for those units </w:t>
      </w:r>
      <w:r w:rsidR="4F7EC39D" w:rsidRPr="00D043C5">
        <w:rPr>
          <w:rFonts w:ascii="Arial" w:hAnsi="Arial" w:cs="Arial"/>
        </w:rPr>
        <w:t xml:space="preserve">within or close to the major urban areas. </w:t>
      </w:r>
      <w:r w:rsidR="00CB25FF" w:rsidRPr="00D043C5">
        <w:rPr>
          <w:rFonts w:ascii="Arial" w:hAnsi="Arial" w:cs="Arial"/>
        </w:rPr>
        <w:t xml:space="preserve">i </w:t>
      </w:r>
      <w:r w:rsidR="00F3128D" w:rsidRPr="00D043C5">
        <w:rPr>
          <w:rFonts w:ascii="Arial" w:hAnsi="Arial" w:cs="Arial"/>
        </w:rPr>
        <w:t xml:space="preserve">Across the </w:t>
      </w:r>
      <w:r w:rsidR="001B0D2F" w:rsidRPr="00D043C5">
        <w:rPr>
          <w:rFonts w:ascii="Arial" w:hAnsi="Arial" w:cs="Arial"/>
        </w:rPr>
        <w:t>logistics sector</w:t>
      </w:r>
      <w:r w:rsidR="00727F81" w:rsidRPr="00D043C5">
        <w:rPr>
          <w:rFonts w:ascii="Arial" w:hAnsi="Arial" w:cs="Arial"/>
        </w:rPr>
        <w:t xml:space="preserve">, growth </w:t>
      </w:r>
      <w:r w:rsidR="001B0D2F" w:rsidRPr="00D043C5">
        <w:rPr>
          <w:rFonts w:ascii="Arial" w:hAnsi="Arial" w:cs="Arial"/>
        </w:rPr>
        <w:t xml:space="preserve">has transitioned </w:t>
      </w:r>
      <w:r w:rsidR="00727F81" w:rsidRPr="00D043C5">
        <w:rPr>
          <w:rFonts w:ascii="Arial" w:hAnsi="Arial" w:cs="Arial"/>
        </w:rPr>
        <w:t>from being driven by cap rate tightening</w:t>
      </w:r>
      <w:r w:rsidR="001B0D2F" w:rsidRPr="00D043C5">
        <w:rPr>
          <w:rFonts w:ascii="Arial" w:hAnsi="Arial" w:cs="Arial"/>
        </w:rPr>
        <w:t xml:space="preserve"> to</w:t>
      </w:r>
      <w:r w:rsidR="008526D5" w:rsidRPr="00D043C5">
        <w:rPr>
          <w:rFonts w:ascii="Arial" w:hAnsi="Arial" w:cs="Arial"/>
        </w:rPr>
        <w:t xml:space="preserve"> rent</w:t>
      </w:r>
      <w:r w:rsidR="00BD556F" w:rsidRPr="00D043C5">
        <w:rPr>
          <w:rFonts w:ascii="Arial" w:hAnsi="Arial" w:cs="Arial"/>
        </w:rPr>
        <w:t>al</w:t>
      </w:r>
      <w:r w:rsidR="008526D5" w:rsidRPr="00D043C5">
        <w:rPr>
          <w:rFonts w:ascii="Arial" w:hAnsi="Arial" w:cs="Arial"/>
        </w:rPr>
        <w:t xml:space="preserve"> growth. </w:t>
      </w:r>
      <w:r w:rsidR="00D16C38" w:rsidRPr="00D043C5">
        <w:rPr>
          <w:rFonts w:ascii="Arial" w:hAnsi="Arial" w:cs="Arial"/>
        </w:rPr>
        <w:t xml:space="preserve">Low vacancies and </w:t>
      </w:r>
      <w:r w:rsidR="00BD556F" w:rsidRPr="00D043C5">
        <w:rPr>
          <w:rFonts w:ascii="Arial" w:hAnsi="Arial" w:cs="Arial"/>
        </w:rPr>
        <w:t>poor-quality</w:t>
      </w:r>
      <w:r w:rsidR="00D16C38" w:rsidRPr="00D043C5">
        <w:rPr>
          <w:rFonts w:ascii="Arial" w:hAnsi="Arial" w:cs="Arial"/>
        </w:rPr>
        <w:t xml:space="preserve"> existing stock are factors </w:t>
      </w:r>
      <w:r w:rsidR="00BD556F" w:rsidRPr="00D043C5">
        <w:rPr>
          <w:rFonts w:ascii="Arial" w:hAnsi="Arial" w:cs="Arial"/>
        </w:rPr>
        <w:t>exacerbated</w:t>
      </w:r>
      <w:r w:rsidR="00D16C38" w:rsidRPr="00D043C5">
        <w:rPr>
          <w:rFonts w:ascii="Arial" w:hAnsi="Arial" w:cs="Arial"/>
        </w:rPr>
        <w:t xml:space="preserve"> in urban areas</w:t>
      </w:r>
      <w:r w:rsidR="00727F81" w:rsidRPr="00D043C5">
        <w:rPr>
          <w:rFonts w:ascii="Arial" w:hAnsi="Arial" w:cs="Arial"/>
        </w:rPr>
        <w:t xml:space="preserve">, where proximity to the end customer is increasingly critical and </w:t>
      </w:r>
      <w:r w:rsidR="1979BC99" w:rsidRPr="00D043C5">
        <w:rPr>
          <w:rFonts w:ascii="Arial" w:hAnsi="Arial" w:cs="Arial"/>
        </w:rPr>
        <w:t>where</w:t>
      </w:r>
      <w:r w:rsidR="5DBD1A87" w:rsidRPr="00D043C5">
        <w:rPr>
          <w:rFonts w:ascii="Arial" w:hAnsi="Arial" w:cs="Arial"/>
        </w:rPr>
        <w:t xml:space="preserve"> </w:t>
      </w:r>
      <w:r w:rsidR="00727F81" w:rsidRPr="00D043C5">
        <w:rPr>
          <w:rFonts w:ascii="Arial" w:hAnsi="Arial" w:cs="Arial"/>
        </w:rPr>
        <w:t xml:space="preserve">suitable </w:t>
      </w:r>
      <w:r w:rsidR="7FD9A556" w:rsidRPr="00D043C5">
        <w:rPr>
          <w:rFonts w:ascii="Arial" w:hAnsi="Arial" w:cs="Arial"/>
        </w:rPr>
        <w:t xml:space="preserve">stock and </w:t>
      </w:r>
      <w:r w:rsidR="00727F81" w:rsidRPr="00D043C5">
        <w:rPr>
          <w:rFonts w:ascii="Arial" w:hAnsi="Arial" w:cs="Arial"/>
        </w:rPr>
        <w:t>land supply is typically falling.</w:t>
      </w:r>
      <w:r w:rsidR="005055DE" w:rsidRPr="00D043C5">
        <w:rPr>
          <w:rFonts w:ascii="Arial" w:hAnsi="Arial" w:cs="Arial"/>
        </w:rPr>
        <w:t xml:space="preserve"> Investors could seek to invest in modern</w:t>
      </w:r>
      <w:r w:rsidR="0051423C" w:rsidRPr="00D043C5">
        <w:rPr>
          <w:rFonts w:ascii="Arial" w:hAnsi="Arial" w:cs="Arial"/>
        </w:rPr>
        <w:t>,</w:t>
      </w:r>
      <w:r w:rsidR="005055DE" w:rsidRPr="00D043C5">
        <w:rPr>
          <w:rFonts w:ascii="Arial" w:hAnsi="Arial" w:cs="Arial"/>
        </w:rPr>
        <w:t xml:space="preserve"> income-producing assets or take the opportunity to create best-in-class, ESG approved, industrial and logistics space. </w:t>
      </w:r>
      <w:r w:rsidR="00727F81" w:rsidRPr="00D043C5">
        <w:rPr>
          <w:rFonts w:ascii="Arial" w:hAnsi="Arial" w:cs="Arial"/>
        </w:rPr>
        <w:t xml:space="preserve"> </w:t>
      </w:r>
      <w:r w:rsidR="001B0D2F" w:rsidRPr="00D043C5">
        <w:rPr>
          <w:rFonts w:ascii="Arial" w:hAnsi="Arial" w:cs="Arial"/>
        </w:rPr>
        <w:t xml:space="preserve"> </w:t>
      </w:r>
    </w:p>
    <w:p w14:paraId="4EDE55E5" w14:textId="276AF43E" w:rsidR="00A47763" w:rsidRPr="00D043C5" w:rsidRDefault="00B41E94" w:rsidP="1E14EC41">
      <w:pPr>
        <w:spacing w:before="100" w:beforeAutospacing="1" w:after="120" w:line="276" w:lineRule="auto"/>
        <w:jc w:val="both"/>
        <w:rPr>
          <w:rFonts w:ascii="Arial" w:hAnsi="Arial" w:cs="Arial"/>
          <w:b/>
          <w:bCs/>
        </w:rPr>
      </w:pPr>
      <w:r w:rsidRPr="00D043C5">
        <w:rPr>
          <w:rFonts w:ascii="Arial" w:hAnsi="Arial" w:cs="Arial"/>
          <w:b/>
          <w:bCs/>
        </w:rPr>
        <w:t xml:space="preserve">Alex Jeffrey, </w:t>
      </w:r>
      <w:r w:rsidR="00D46A93" w:rsidRPr="00D043C5">
        <w:rPr>
          <w:rFonts w:ascii="Arial" w:hAnsi="Arial" w:cs="Arial"/>
          <w:b/>
          <w:bCs/>
        </w:rPr>
        <w:t>Chief Executive</w:t>
      </w:r>
      <w:r w:rsidRPr="00D043C5">
        <w:rPr>
          <w:rFonts w:ascii="Arial" w:hAnsi="Arial" w:cs="Arial"/>
          <w:b/>
          <w:bCs/>
        </w:rPr>
        <w:t>, Savills Investment Management, Commented</w:t>
      </w:r>
      <w:r w:rsidR="00A47763" w:rsidRPr="00D043C5">
        <w:rPr>
          <w:rFonts w:ascii="Arial" w:hAnsi="Arial" w:cs="Arial"/>
          <w:b/>
          <w:bCs/>
        </w:rPr>
        <w:t>:</w:t>
      </w:r>
      <w:r w:rsidR="00A47763" w:rsidRPr="00D043C5">
        <w:rPr>
          <w:rFonts w:ascii="Arial" w:hAnsi="Arial" w:cs="Arial"/>
        </w:rPr>
        <w:t xml:space="preserve"> </w:t>
      </w:r>
    </w:p>
    <w:p w14:paraId="79E6E96D" w14:textId="2699FF47" w:rsidR="00A47763" w:rsidRPr="00D043C5" w:rsidRDefault="00A47763" w:rsidP="1E14EC41">
      <w:pPr>
        <w:spacing w:before="100" w:beforeAutospacing="1" w:after="120" w:line="276" w:lineRule="auto"/>
        <w:jc w:val="both"/>
        <w:rPr>
          <w:rFonts w:ascii="Arial" w:hAnsi="Arial" w:cs="Arial"/>
        </w:rPr>
      </w:pPr>
      <w:r w:rsidRPr="00D043C5">
        <w:rPr>
          <w:rFonts w:ascii="Arial" w:hAnsi="Arial" w:cs="Arial"/>
        </w:rPr>
        <w:t>“</w:t>
      </w:r>
      <w:r w:rsidR="005055DE" w:rsidRPr="00D043C5">
        <w:rPr>
          <w:rFonts w:ascii="Arial" w:hAnsi="Arial" w:cs="Arial"/>
        </w:rPr>
        <w:t>2024 will likely prove to be another challenging year for real estate investors</w:t>
      </w:r>
      <w:r w:rsidRPr="00D043C5">
        <w:rPr>
          <w:rFonts w:ascii="Arial" w:hAnsi="Arial" w:cs="Arial"/>
        </w:rPr>
        <w:t xml:space="preserve">. However, </w:t>
      </w:r>
      <w:r w:rsidR="009D1AA9" w:rsidRPr="00D043C5">
        <w:rPr>
          <w:rFonts w:ascii="Arial" w:hAnsi="Arial" w:cs="Arial"/>
        </w:rPr>
        <w:t>periods</w:t>
      </w:r>
      <w:r w:rsidRPr="00D043C5">
        <w:rPr>
          <w:rFonts w:ascii="Arial" w:hAnsi="Arial" w:cs="Arial"/>
        </w:rPr>
        <w:t xml:space="preserve"> of high market stress will present opportunities to those investors with the requisite market knowledge</w:t>
      </w:r>
      <w:r w:rsidR="0260043B" w:rsidRPr="00D043C5">
        <w:rPr>
          <w:rFonts w:ascii="Arial" w:hAnsi="Arial" w:cs="Arial"/>
        </w:rPr>
        <w:t>.</w:t>
      </w:r>
      <w:r w:rsidR="0937DEF8" w:rsidRPr="00D043C5">
        <w:rPr>
          <w:rFonts w:ascii="Arial" w:hAnsi="Arial" w:cs="Arial"/>
        </w:rPr>
        <w:t xml:space="preserve"> We see allocators tilting towards Living, Industrial &amp; Logistics, Debt and, in increasingl</w:t>
      </w:r>
      <w:r w:rsidR="06841E4C" w:rsidRPr="00D043C5">
        <w:rPr>
          <w:rFonts w:ascii="Arial" w:hAnsi="Arial" w:cs="Arial"/>
        </w:rPr>
        <w:t>y, Natural Capital orientated strategies</w:t>
      </w:r>
      <w:r w:rsidR="0937DEF8" w:rsidRPr="00D043C5">
        <w:rPr>
          <w:rFonts w:ascii="Arial" w:hAnsi="Arial" w:cs="Arial"/>
        </w:rPr>
        <w:t>,</w:t>
      </w:r>
      <w:r w:rsidR="55952463" w:rsidRPr="00D043C5">
        <w:rPr>
          <w:rFonts w:ascii="Arial" w:hAnsi="Arial" w:cs="Arial"/>
        </w:rPr>
        <w:t>”</w:t>
      </w:r>
      <w:r w:rsidRPr="00D043C5">
        <w:rPr>
          <w:rFonts w:ascii="Arial" w:hAnsi="Arial" w:cs="Arial"/>
        </w:rPr>
        <w:t xml:space="preserve"> </w:t>
      </w:r>
    </w:p>
    <w:p w14:paraId="696A84F0" w14:textId="5B743D10" w:rsidR="0016243C" w:rsidRPr="00690E82" w:rsidRDefault="00DC1829" w:rsidP="00D043C5">
      <w:pPr>
        <w:pStyle w:val="pf0"/>
        <w:spacing w:line="276" w:lineRule="auto"/>
        <w:rPr>
          <w:rStyle w:val="cf01"/>
          <w:rFonts w:ascii="Arial" w:eastAsiaTheme="minorHAnsi" w:hAnsi="Arial" w:cs="Arial"/>
          <w:sz w:val="22"/>
          <w:szCs w:val="22"/>
          <w:lang w:val="en-GB" w:eastAsia="en-GB"/>
        </w:rPr>
      </w:pPr>
      <w:bookmarkStart w:id="1" w:name="_Hlk152575380"/>
      <w:r w:rsidRPr="00690E82">
        <w:rPr>
          <w:rFonts w:ascii="Arial" w:eastAsiaTheme="minorHAnsi" w:hAnsi="Arial" w:cs="Arial"/>
          <w:b/>
          <w:bCs/>
          <w:sz w:val="22"/>
          <w:szCs w:val="22"/>
          <w:lang w:val="en-GB" w:eastAsia="en-GB"/>
        </w:rPr>
        <w:t>Andrew Allen</w:t>
      </w:r>
      <w:r w:rsidR="0016243C" w:rsidRPr="00690E82">
        <w:rPr>
          <w:rFonts w:ascii="Arial" w:eastAsiaTheme="minorHAnsi" w:hAnsi="Arial" w:cs="Arial"/>
          <w:b/>
          <w:bCs/>
          <w:sz w:val="22"/>
          <w:szCs w:val="22"/>
          <w:lang w:val="en-GB" w:eastAsia="en-GB"/>
        </w:rPr>
        <w:t>, Global Head of Research, Product Strategy and Development</w:t>
      </w:r>
      <w:r w:rsidR="00BA0DD3" w:rsidRPr="00690E82">
        <w:rPr>
          <w:rFonts w:ascii="Arial" w:eastAsiaTheme="minorHAnsi" w:hAnsi="Arial" w:cs="Arial"/>
          <w:b/>
          <w:bCs/>
          <w:sz w:val="22"/>
          <w:szCs w:val="22"/>
          <w:lang w:val="en-GB" w:eastAsia="en-GB"/>
        </w:rPr>
        <w:t xml:space="preserve">, </w:t>
      </w:r>
      <w:r w:rsidR="00BA0DD3" w:rsidRPr="00690E82">
        <w:rPr>
          <w:rFonts w:ascii="Arial" w:hAnsi="Arial" w:cs="Arial"/>
          <w:b/>
          <w:bCs/>
          <w:sz w:val="22"/>
          <w:szCs w:val="22"/>
        </w:rPr>
        <w:t>Savills Investment Management,</w:t>
      </w:r>
      <w:r w:rsidR="00BA0DD3" w:rsidRPr="00690E82">
        <w:rPr>
          <w:rFonts w:ascii="Arial" w:eastAsiaTheme="minorHAnsi" w:hAnsi="Arial" w:cs="Arial"/>
          <w:b/>
          <w:bCs/>
          <w:sz w:val="22"/>
          <w:szCs w:val="22"/>
          <w:lang w:val="en-GB" w:eastAsia="en-GB"/>
        </w:rPr>
        <w:t xml:space="preserve"> Commented</w:t>
      </w:r>
      <w:r w:rsidR="0016243C" w:rsidRPr="00690E82">
        <w:rPr>
          <w:rFonts w:ascii="Arial" w:eastAsiaTheme="minorHAnsi" w:hAnsi="Arial" w:cs="Arial"/>
          <w:b/>
          <w:bCs/>
          <w:sz w:val="22"/>
          <w:szCs w:val="22"/>
          <w:lang w:val="en-GB" w:eastAsia="en-GB"/>
        </w:rPr>
        <w:t>:</w:t>
      </w:r>
      <w:r w:rsidR="0016243C" w:rsidRPr="00690E82">
        <w:rPr>
          <w:rStyle w:val="cf01"/>
          <w:rFonts w:ascii="Arial" w:hAnsi="Arial" w:cs="Arial"/>
          <w:sz w:val="22"/>
          <w:szCs w:val="22"/>
        </w:rPr>
        <w:t xml:space="preserve"> </w:t>
      </w:r>
    </w:p>
    <w:p w14:paraId="0913C01B" w14:textId="31DF73E3" w:rsidR="00E36FD3" w:rsidRPr="00690E82" w:rsidRDefault="00AC0AFB" w:rsidP="00D043C5">
      <w:pPr>
        <w:spacing w:before="100" w:beforeAutospacing="1" w:after="120" w:line="276" w:lineRule="auto"/>
        <w:jc w:val="both"/>
        <w:rPr>
          <w:rFonts w:ascii="Arial" w:hAnsi="Arial" w:cs="Arial"/>
        </w:rPr>
      </w:pPr>
      <w:r w:rsidRPr="00690E82">
        <w:rPr>
          <w:rFonts w:ascii="Arial" w:hAnsi="Arial" w:cs="Arial"/>
        </w:rPr>
        <w:t>“</w:t>
      </w:r>
      <w:r w:rsidR="00961B91" w:rsidRPr="00690E82">
        <w:rPr>
          <w:rFonts w:ascii="Arial" w:hAnsi="Arial" w:cs="Arial"/>
        </w:rPr>
        <w:t xml:space="preserve">Urban industrial &amp; logistics continues to be driven by strong fundamental factors </w:t>
      </w:r>
      <w:r w:rsidR="007314DA" w:rsidRPr="00690E82">
        <w:rPr>
          <w:rFonts w:ascii="Arial" w:hAnsi="Arial" w:cs="Arial"/>
        </w:rPr>
        <w:t>and</w:t>
      </w:r>
      <w:r w:rsidR="00961B91" w:rsidRPr="00690E82">
        <w:rPr>
          <w:rFonts w:ascii="Arial" w:hAnsi="Arial" w:cs="Arial"/>
        </w:rPr>
        <w:t xml:space="preserve"> demand for modern, ESG compliant</w:t>
      </w:r>
      <w:r w:rsidR="007D0C8B" w:rsidRPr="00690E82">
        <w:rPr>
          <w:rFonts w:ascii="Arial" w:hAnsi="Arial" w:cs="Arial"/>
        </w:rPr>
        <w:t xml:space="preserve"> best-in-class</w:t>
      </w:r>
      <w:r w:rsidR="00961B91" w:rsidRPr="00690E82">
        <w:rPr>
          <w:rFonts w:ascii="Arial" w:hAnsi="Arial" w:cs="Arial"/>
        </w:rPr>
        <w:t xml:space="preserve"> </w:t>
      </w:r>
      <w:r w:rsidR="007D0C8B" w:rsidRPr="00690E82">
        <w:rPr>
          <w:rFonts w:ascii="Arial" w:hAnsi="Arial" w:cs="Arial"/>
        </w:rPr>
        <w:t xml:space="preserve">assets create </w:t>
      </w:r>
      <w:r w:rsidR="00630C26" w:rsidRPr="00690E82">
        <w:rPr>
          <w:rFonts w:ascii="Arial" w:hAnsi="Arial" w:cs="Arial"/>
        </w:rPr>
        <w:t xml:space="preserve">opportunities for investors. Elsewhere in the affordable housing sector, the role of private capital continues to grow in importance </w:t>
      </w:r>
      <w:r w:rsidR="000624F6" w:rsidRPr="00690E82">
        <w:rPr>
          <w:rFonts w:ascii="Arial" w:hAnsi="Arial" w:cs="Arial"/>
        </w:rPr>
        <w:t xml:space="preserve">as </w:t>
      </w:r>
      <w:r w:rsidR="005F09A5" w:rsidRPr="00690E82">
        <w:rPr>
          <w:rFonts w:ascii="Arial" w:hAnsi="Arial" w:cs="Arial"/>
        </w:rPr>
        <w:t xml:space="preserve">part of the </w:t>
      </w:r>
      <w:r w:rsidR="000624F6" w:rsidRPr="00690E82">
        <w:rPr>
          <w:rFonts w:ascii="Arial" w:hAnsi="Arial" w:cs="Arial"/>
        </w:rPr>
        <w:t xml:space="preserve">solution </w:t>
      </w:r>
      <w:r w:rsidR="6232A8CC" w:rsidRPr="00690E82">
        <w:rPr>
          <w:rFonts w:ascii="Arial" w:hAnsi="Arial" w:cs="Arial"/>
        </w:rPr>
        <w:t>in</w:t>
      </w:r>
      <w:r w:rsidR="000624F6" w:rsidRPr="00690E82">
        <w:rPr>
          <w:rFonts w:ascii="Arial" w:hAnsi="Arial" w:cs="Arial"/>
        </w:rPr>
        <w:t xml:space="preserve"> </w:t>
      </w:r>
      <w:r w:rsidR="005F09A5" w:rsidRPr="00690E82">
        <w:rPr>
          <w:rFonts w:ascii="Arial" w:hAnsi="Arial" w:cs="Arial"/>
        </w:rPr>
        <w:t xml:space="preserve">ensuring </w:t>
      </w:r>
      <w:r w:rsidR="00E75AB1" w:rsidRPr="00690E82">
        <w:rPr>
          <w:rFonts w:ascii="Arial" w:hAnsi="Arial" w:cs="Arial"/>
        </w:rPr>
        <w:t xml:space="preserve">the continued availability of </w:t>
      </w:r>
      <w:r w:rsidR="061807BA" w:rsidRPr="00690E82">
        <w:rPr>
          <w:rFonts w:ascii="Arial" w:hAnsi="Arial" w:cs="Arial"/>
        </w:rPr>
        <w:t>homes</w:t>
      </w:r>
      <w:r w:rsidR="00E75AB1" w:rsidRPr="00690E82">
        <w:rPr>
          <w:rFonts w:ascii="Arial" w:hAnsi="Arial" w:cs="Arial"/>
        </w:rPr>
        <w:t xml:space="preserve"> for residents across Europe.</w:t>
      </w:r>
      <w:r w:rsidR="0016243C" w:rsidRPr="00690E82">
        <w:rPr>
          <w:rFonts w:ascii="Arial" w:hAnsi="Arial" w:cs="Arial"/>
        </w:rPr>
        <w:t>”</w:t>
      </w:r>
      <w:r w:rsidR="00E36FD3" w:rsidRPr="00690E82">
        <w:rPr>
          <w:rFonts w:ascii="Arial" w:hAnsi="Arial" w:cs="Arial"/>
        </w:rPr>
        <w:t xml:space="preserve"> </w:t>
      </w:r>
    </w:p>
    <w:bookmarkEnd w:id="1"/>
    <w:p w14:paraId="2A95F196" w14:textId="2E2FA8E8" w:rsidR="00A47763" w:rsidRPr="00690E82" w:rsidRDefault="00A47763" w:rsidP="00D043C5">
      <w:pPr>
        <w:spacing w:before="100" w:beforeAutospacing="1" w:after="120" w:line="276" w:lineRule="auto"/>
        <w:jc w:val="both"/>
        <w:rPr>
          <w:rFonts w:ascii="Arial" w:hAnsi="Arial" w:cs="Arial"/>
        </w:rPr>
      </w:pPr>
      <w:r w:rsidRPr="00690E82">
        <w:rPr>
          <w:rFonts w:ascii="Arial" w:hAnsi="Arial" w:cs="Arial"/>
        </w:rPr>
        <w:t xml:space="preserve">“Debt markets </w:t>
      </w:r>
      <w:r w:rsidR="000F11E3" w:rsidRPr="00690E82">
        <w:rPr>
          <w:rFonts w:ascii="Arial" w:hAnsi="Arial" w:cs="Arial"/>
        </w:rPr>
        <w:t xml:space="preserve">keep </w:t>
      </w:r>
      <w:r w:rsidRPr="00690E82">
        <w:rPr>
          <w:rFonts w:ascii="Arial" w:hAnsi="Arial" w:cs="Arial"/>
        </w:rPr>
        <w:t>provid</w:t>
      </w:r>
      <w:r w:rsidR="000F11E3" w:rsidRPr="00690E82">
        <w:rPr>
          <w:rFonts w:ascii="Arial" w:hAnsi="Arial" w:cs="Arial"/>
        </w:rPr>
        <w:t>ing</w:t>
      </w:r>
      <w:r w:rsidRPr="00690E82">
        <w:rPr>
          <w:rFonts w:ascii="Arial" w:hAnsi="Arial" w:cs="Arial"/>
        </w:rPr>
        <w:t xml:space="preserve"> attractive risk-adjusted returns with </w:t>
      </w:r>
      <w:r w:rsidR="00585CDD" w:rsidRPr="00690E82">
        <w:rPr>
          <w:rFonts w:ascii="Arial" w:hAnsi="Arial" w:cs="Arial"/>
        </w:rPr>
        <w:t xml:space="preserve">strong </w:t>
      </w:r>
      <w:r w:rsidRPr="00690E82">
        <w:rPr>
          <w:rFonts w:ascii="Arial" w:hAnsi="Arial" w:cs="Arial"/>
        </w:rPr>
        <w:t xml:space="preserve">downside protection. </w:t>
      </w:r>
      <w:r w:rsidR="00585CDD" w:rsidRPr="00690E82">
        <w:rPr>
          <w:rFonts w:ascii="Arial" w:hAnsi="Arial" w:cs="Arial"/>
        </w:rPr>
        <w:t>Against a backdrop of heightened cyclical market uncertainty</w:t>
      </w:r>
      <w:r w:rsidR="00380E25" w:rsidRPr="00690E82">
        <w:rPr>
          <w:rFonts w:ascii="Arial" w:hAnsi="Arial" w:cs="Arial"/>
        </w:rPr>
        <w:t xml:space="preserve">, the stable income provided by senior real estate lending </w:t>
      </w:r>
      <w:r w:rsidR="00D842C8" w:rsidRPr="00690E82">
        <w:rPr>
          <w:rFonts w:ascii="Arial" w:hAnsi="Arial" w:cs="Arial"/>
        </w:rPr>
        <w:t xml:space="preserve">will remain highly attractive </w:t>
      </w:r>
      <w:r w:rsidR="000F11E3" w:rsidRPr="00690E82">
        <w:rPr>
          <w:rFonts w:ascii="Arial" w:hAnsi="Arial" w:cs="Arial"/>
        </w:rPr>
        <w:t xml:space="preserve">to </w:t>
      </w:r>
      <w:r w:rsidR="00380E25" w:rsidRPr="00690E82">
        <w:rPr>
          <w:rFonts w:ascii="Arial" w:hAnsi="Arial" w:cs="Arial"/>
        </w:rPr>
        <w:t>institutional investors</w:t>
      </w:r>
      <w:r w:rsidRPr="00690E82">
        <w:rPr>
          <w:rFonts w:ascii="Arial" w:hAnsi="Arial" w:cs="Arial"/>
        </w:rPr>
        <w:t>.”</w:t>
      </w:r>
    </w:p>
    <w:p w14:paraId="684E285E" w14:textId="3E079190" w:rsidR="00690E82" w:rsidRPr="00690E82" w:rsidRDefault="00690E82" w:rsidP="00690E82">
      <w:pPr>
        <w:pStyle w:val="pf0"/>
        <w:spacing w:line="276" w:lineRule="auto"/>
        <w:rPr>
          <w:rStyle w:val="cf01"/>
          <w:rFonts w:ascii="Arial" w:eastAsiaTheme="minorHAnsi" w:hAnsi="Arial" w:cs="Arial"/>
          <w:sz w:val="22"/>
          <w:szCs w:val="22"/>
          <w:lang w:val="en-GB" w:eastAsia="en-GB"/>
        </w:rPr>
      </w:pPr>
      <w:r>
        <w:rPr>
          <w:rFonts w:ascii="Arial" w:eastAsiaTheme="minorHAnsi" w:hAnsi="Arial" w:cs="Arial"/>
          <w:b/>
          <w:bCs/>
          <w:sz w:val="22"/>
          <w:szCs w:val="22"/>
          <w:lang w:val="en-GB" w:eastAsia="en-GB"/>
        </w:rPr>
        <w:t>Piotr Trzciński, Head of Poland</w:t>
      </w:r>
      <w:r w:rsidRPr="00690E82">
        <w:rPr>
          <w:rFonts w:ascii="Arial" w:eastAsiaTheme="minorHAnsi" w:hAnsi="Arial" w:cs="Arial"/>
          <w:b/>
          <w:bCs/>
          <w:sz w:val="22"/>
          <w:szCs w:val="22"/>
          <w:lang w:val="en-GB" w:eastAsia="en-GB"/>
        </w:rPr>
        <w:t xml:space="preserve">, </w:t>
      </w:r>
      <w:r w:rsidRPr="00690E82">
        <w:rPr>
          <w:rFonts w:ascii="Arial" w:hAnsi="Arial" w:cs="Arial"/>
          <w:b/>
          <w:bCs/>
          <w:sz w:val="22"/>
          <w:szCs w:val="22"/>
        </w:rPr>
        <w:t>Savills Investment Management,</w:t>
      </w:r>
      <w:r w:rsidRPr="00690E82">
        <w:rPr>
          <w:rFonts w:ascii="Arial" w:eastAsiaTheme="minorHAnsi" w:hAnsi="Arial" w:cs="Arial"/>
          <w:b/>
          <w:bCs/>
          <w:sz w:val="22"/>
          <w:szCs w:val="22"/>
          <w:lang w:val="en-GB" w:eastAsia="en-GB"/>
        </w:rPr>
        <w:t xml:space="preserve"> added:</w:t>
      </w:r>
      <w:r w:rsidRPr="00690E82">
        <w:rPr>
          <w:rStyle w:val="cf01"/>
          <w:rFonts w:ascii="Arial" w:hAnsi="Arial" w:cs="Arial"/>
          <w:sz w:val="22"/>
          <w:szCs w:val="22"/>
        </w:rPr>
        <w:t xml:space="preserve"> </w:t>
      </w:r>
    </w:p>
    <w:p w14:paraId="7CA40A4C" w14:textId="328EE5E1" w:rsidR="005E05F9" w:rsidRDefault="00690E82" w:rsidP="00D043C5">
      <w:pPr>
        <w:spacing w:before="100" w:beforeAutospacing="1" w:after="120" w:line="276" w:lineRule="auto"/>
        <w:jc w:val="both"/>
        <w:rPr>
          <w:rFonts w:ascii="Arial" w:hAnsi="Arial" w:cs="Arial"/>
        </w:rPr>
      </w:pPr>
      <w:r>
        <w:rPr>
          <w:rFonts w:ascii="Arial" w:hAnsi="Arial" w:cs="Arial"/>
        </w:rPr>
        <w:t>“</w:t>
      </w:r>
      <w:r w:rsidRPr="00690E82">
        <w:rPr>
          <w:rFonts w:ascii="Arial" w:hAnsi="Arial" w:cs="Arial"/>
        </w:rPr>
        <w:t>In response to heightened uncertainty, we've revised our strategy for Poland in 2023. Looking ahead, we anticipate the Polish market offering appealing investment prospects within the next year. However, we foresee these opportunities emerging no earlier than the latter half of 2024, once we gain more clarity on factors such as interest rates, financing costs, valuations, the release of National Recovery Plan funds for Poland, and the sustainability of tenant demand. Our market is still in the process of price discovery, and we estimate it will likely take until at least 2025 for the Polish market to regain its previous transaction volumes. Despite this, with our existing portfolio valued at EUR 1.8 billion, we continue to regard Poland as a significant market, though an opportunistic one compared to Western Europe. We are particularly drawn to the long-term potential of the urban logistics and living sectors in Poland due to their favorable underlying fundamentals.</w:t>
      </w:r>
      <w:r>
        <w:rPr>
          <w:rFonts w:ascii="Arial" w:hAnsi="Arial" w:cs="Arial"/>
        </w:rPr>
        <w:t>”</w:t>
      </w:r>
    </w:p>
    <w:p w14:paraId="2F15A462" w14:textId="570A533B" w:rsidR="00C4488A" w:rsidRPr="00C4488A" w:rsidRDefault="00C4488A" w:rsidP="00D043C5">
      <w:pPr>
        <w:spacing w:before="100" w:beforeAutospacing="1" w:after="120" w:line="276" w:lineRule="auto"/>
        <w:jc w:val="both"/>
        <w:rPr>
          <w:rFonts w:ascii="Arial" w:hAnsi="Arial" w:cs="Arial"/>
        </w:rPr>
      </w:pPr>
      <w:r>
        <w:rPr>
          <w:rFonts w:ascii="Arial" w:hAnsi="Arial" w:cs="Arial"/>
        </w:rPr>
        <w:t xml:space="preserve">Link to the report: </w:t>
      </w:r>
      <w:bookmarkStart w:id="2" w:name="_GoBack"/>
      <w:bookmarkEnd w:id="2"/>
      <w:r>
        <w:rPr>
          <w:rFonts w:ascii="Arial" w:hAnsi="Arial" w:cs="Arial"/>
        </w:rPr>
        <w:fldChar w:fldCharType="begin"/>
      </w:r>
      <w:r>
        <w:rPr>
          <w:rFonts w:ascii="Arial" w:hAnsi="Arial" w:cs="Arial"/>
        </w:rPr>
        <w:instrText xml:space="preserve"> HYPERLINK "</w:instrText>
      </w:r>
      <w:r w:rsidRPr="00C4488A">
        <w:rPr>
          <w:rFonts w:ascii="Arial" w:hAnsi="Arial" w:cs="Arial"/>
        </w:rPr>
        <w:instrText>https://outlook2024.savillsim.com/</w:instrText>
      </w:r>
      <w:r>
        <w:rPr>
          <w:rFonts w:ascii="Arial" w:hAnsi="Arial" w:cs="Arial"/>
        </w:rPr>
        <w:instrText xml:space="preserve">" </w:instrText>
      </w:r>
      <w:r>
        <w:rPr>
          <w:rFonts w:ascii="Arial" w:hAnsi="Arial" w:cs="Arial"/>
        </w:rPr>
        <w:fldChar w:fldCharType="separate"/>
      </w:r>
      <w:r w:rsidRPr="00A24237">
        <w:rPr>
          <w:rStyle w:val="Hipercze"/>
          <w:rFonts w:ascii="Arial" w:hAnsi="Arial" w:cs="Arial"/>
        </w:rPr>
        <w:t>https://outlook2024.savillsim.com/</w:t>
      </w:r>
      <w:r>
        <w:rPr>
          <w:rFonts w:ascii="Arial" w:hAnsi="Arial" w:cs="Arial"/>
        </w:rPr>
        <w:fldChar w:fldCharType="end"/>
      </w:r>
      <w:r>
        <w:rPr>
          <w:rFonts w:ascii="Arial" w:hAnsi="Arial" w:cs="Arial"/>
        </w:rPr>
        <w:t xml:space="preserve"> </w:t>
      </w:r>
    </w:p>
    <w:p w14:paraId="1A50EF2D" w14:textId="149BAC25" w:rsidR="54094485" w:rsidRDefault="54094485" w:rsidP="00D043C5">
      <w:pPr>
        <w:spacing w:beforeAutospacing="1" w:after="120" w:line="276" w:lineRule="auto"/>
        <w:jc w:val="both"/>
        <w:rPr>
          <w:rFonts w:ascii="Arial" w:hAnsi="Arial" w:cs="Arial"/>
          <w:b/>
          <w:bCs/>
          <w:highlight w:val="yellow"/>
        </w:rPr>
      </w:pPr>
    </w:p>
    <w:p w14:paraId="3327B6CC" w14:textId="77777777" w:rsidR="00690E82" w:rsidRPr="00D043C5" w:rsidRDefault="00690E82" w:rsidP="00D043C5">
      <w:pPr>
        <w:spacing w:beforeAutospacing="1" w:after="120" w:line="276" w:lineRule="auto"/>
        <w:jc w:val="both"/>
        <w:rPr>
          <w:rFonts w:ascii="Arial" w:hAnsi="Arial" w:cs="Arial"/>
          <w:b/>
          <w:bCs/>
          <w:highlight w:val="yellow"/>
        </w:rPr>
      </w:pPr>
    </w:p>
    <w:p w14:paraId="3AD19EB4" w14:textId="516A9214" w:rsidR="00A47763" w:rsidRPr="00D043C5" w:rsidRDefault="00A47763" w:rsidP="00D043C5">
      <w:pPr>
        <w:spacing w:before="100" w:beforeAutospacing="1" w:after="120" w:line="276" w:lineRule="auto"/>
        <w:jc w:val="both"/>
        <w:rPr>
          <w:rFonts w:ascii="Arial" w:hAnsi="Arial" w:cs="Arial"/>
          <w:b/>
          <w:bCs/>
          <w:color w:val="333333"/>
          <w:sz w:val="28"/>
          <w:szCs w:val="28"/>
        </w:rPr>
      </w:pPr>
      <w:r w:rsidRPr="00D043C5">
        <w:rPr>
          <w:rFonts w:ascii="Arial" w:hAnsi="Arial" w:cs="Arial"/>
          <w:b/>
          <w:bCs/>
          <w:color w:val="333333"/>
          <w:sz w:val="28"/>
          <w:szCs w:val="28"/>
        </w:rPr>
        <w:lastRenderedPageBreak/>
        <w:t>Savills IM’s 202</w:t>
      </w:r>
      <w:r w:rsidR="00C77686" w:rsidRPr="00D043C5">
        <w:rPr>
          <w:rFonts w:ascii="Arial" w:hAnsi="Arial" w:cs="Arial"/>
          <w:b/>
          <w:bCs/>
          <w:color w:val="333333"/>
          <w:sz w:val="28"/>
          <w:szCs w:val="28"/>
        </w:rPr>
        <w:t>4</w:t>
      </w:r>
      <w:r w:rsidRPr="00D043C5">
        <w:rPr>
          <w:rFonts w:ascii="Arial" w:hAnsi="Arial" w:cs="Arial"/>
          <w:b/>
          <w:bCs/>
          <w:color w:val="333333"/>
          <w:sz w:val="28"/>
          <w:szCs w:val="28"/>
        </w:rPr>
        <w:t xml:space="preserve"> </w:t>
      </w:r>
      <w:r w:rsidR="0087311B" w:rsidRPr="00D043C5">
        <w:rPr>
          <w:rFonts w:ascii="Arial" w:hAnsi="Arial" w:cs="Arial"/>
          <w:b/>
          <w:bCs/>
          <w:color w:val="333333"/>
          <w:sz w:val="28"/>
          <w:szCs w:val="28"/>
        </w:rPr>
        <w:t>s</w:t>
      </w:r>
      <w:r w:rsidRPr="00D043C5">
        <w:rPr>
          <w:rFonts w:ascii="Arial" w:hAnsi="Arial" w:cs="Arial"/>
          <w:b/>
          <w:bCs/>
          <w:color w:val="333333"/>
          <w:sz w:val="28"/>
          <w:szCs w:val="28"/>
        </w:rPr>
        <w:t>ector outlook:</w:t>
      </w:r>
    </w:p>
    <w:p w14:paraId="2B8C03DA" w14:textId="77777777" w:rsidR="00A47763" w:rsidRPr="00D043C5" w:rsidRDefault="0848057A" w:rsidP="1E14EC41">
      <w:pPr>
        <w:pStyle w:val="Bullet"/>
        <w:numPr>
          <w:ilvl w:val="0"/>
          <w:numId w:val="0"/>
        </w:numPr>
        <w:spacing w:after="0" w:line="276" w:lineRule="auto"/>
        <w:ind w:right="283"/>
        <w:jc w:val="both"/>
        <w:rPr>
          <w:rFonts w:cs="Arial"/>
          <w:b/>
          <w:bCs/>
          <w:color w:val="auto"/>
          <w:sz w:val="22"/>
          <w:szCs w:val="22"/>
        </w:rPr>
      </w:pPr>
      <w:r w:rsidRPr="00D043C5">
        <w:rPr>
          <w:rFonts w:cs="Arial"/>
          <w:b/>
          <w:bCs/>
          <w:color w:val="auto"/>
          <w:sz w:val="22"/>
          <w:szCs w:val="22"/>
        </w:rPr>
        <w:t>Living</w:t>
      </w:r>
    </w:p>
    <w:p w14:paraId="5A80CEC3" w14:textId="0923E2BE" w:rsidR="00A47763" w:rsidRPr="00D043C5" w:rsidRDefault="0848057A" w:rsidP="1E14EC41">
      <w:pPr>
        <w:pStyle w:val="Bullet"/>
        <w:numPr>
          <w:ilvl w:val="0"/>
          <w:numId w:val="8"/>
        </w:numPr>
        <w:spacing w:after="0" w:line="276" w:lineRule="auto"/>
        <w:ind w:right="283"/>
        <w:jc w:val="both"/>
        <w:rPr>
          <w:rFonts w:cs="Arial"/>
          <w:color w:val="auto"/>
          <w:sz w:val="22"/>
          <w:szCs w:val="22"/>
        </w:rPr>
      </w:pPr>
      <w:r w:rsidRPr="00D043C5">
        <w:rPr>
          <w:rFonts w:cs="Arial"/>
          <w:color w:val="auto"/>
          <w:sz w:val="22"/>
          <w:szCs w:val="22"/>
        </w:rPr>
        <w:t>Rent affordability is the issue for residents, policymakers and investors into 2024 and beyond.</w:t>
      </w:r>
      <w:r w:rsidRPr="00D043C5">
        <w:rPr>
          <w:rFonts w:cs="Arial"/>
        </w:rPr>
        <w:t xml:space="preserve"> </w:t>
      </w:r>
      <w:r w:rsidRPr="00D043C5">
        <w:rPr>
          <w:rFonts w:cs="Arial"/>
          <w:color w:val="auto"/>
          <w:sz w:val="22"/>
          <w:szCs w:val="22"/>
        </w:rPr>
        <w:t xml:space="preserve">Demand continues to outstrip supply, and consequently the average household faces a marked deterioration in affordability and with limited alternative housing options.  </w:t>
      </w:r>
    </w:p>
    <w:p w14:paraId="7CFE40ED" w14:textId="77777777" w:rsidR="00A47763" w:rsidRPr="00D043C5" w:rsidRDefault="0848057A" w:rsidP="1E14EC41">
      <w:pPr>
        <w:pStyle w:val="Bullet"/>
        <w:numPr>
          <w:ilvl w:val="0"/>
          <w:numId w:val="8"/>
        </w:numPr>
        <w:spacing w:after="0" w:line="276" w:lineRule="auto"/>
        <w:ind w:right="283"/>
        <w:jc w:val="both"/>
        <w:rPr>
          <w:rFonts w:cs="Arial"/>
          <w:color w:val="auto"/>
          <w:sz w:val="22"/>
          <w:szCs w:val="22"/>
        </w:rPr>
      </w:pPr>
      <w:r w:rsidRPr="00D043C5">
        <w:rPr>
          <w:rFonts w:cs="Arial"/>
          <w:color w:val="auto"/>
          <w:sz w:val="22"/>
          <w:szCs w:val="22"/>
        </w:rPr>
        <w:t xml:space="preserve">The answer lies in a major program of development, but the short- term answer is that no quick fix exists, from either the public or private sector. Consequently, the prospect of policy interventions on rents through controls is rising.  </w:t>
      </w:r>
    </w:p>
    <w:p w14:paraId="29095BF8" w14:textId="6F8C81A4" w:rsidR="00A47763" w:rsidRPr="00D043C5" w:rsidRDefault="0848057A" w:rsidP="1E14EC41">
      <w:pPr>
        <w:pStyle w:val="Bullet"/>
        <w:numPr>
          <w:ilvl w:val="0"/>
          <w:numId w:val="8"/>
        </w:numPr>
        <w:spacing w:after="0" w:line="276" w:lineRule="auto"/>
        <w:ind w:right="283"/>
        <w:jc w:val="both"/>
        <w:rPr>
          <w:rFonts w:cs="Arial"/>
          <w:color w:val="auto"/>
          <w:sz w:val="22"/>
          <w:szCs w:val="22"/>
        </w:rPr>
      </w:pPr>
      <w:r w:rsidRPr="00D043C5">
        <w:rPr>
          <w:rFonts w:cs="Arial"/>
          <w:color w:val="auto"/>
          <w:sz w:val="22"/>
          <w:szCs w:val="22"/>
        </w:rPr>
        <w:t xml:space="preserve">Investors should be mindful of the affordability thresholds of their residents and the risks of policy responses as the affordability crisis deepens. </w:t>
      </w:r>
    </w:p>
    <w:p w14:paraId="2449660B" w14:textId="270CA6D4" w:rsidR="00A47763" w:rsidRPr="00D043C5" w:rsidRDefault="0848057A" w:rsidP="00D043C5">
      <w:pPr>
        <w:pStyle w:val="Bullet"/>
        <w:numPr>
          <w:ilvl w:val="0"/>
          <w:numId w:val="8"/>
        </w:numPr>
        <w:spacing w:after="0" w:line="276" w:lineRule="auto"/>
        <w:ind w:right="283"/>
        <w:jc w:val="both"/>
        <w:rPr>
          <w:rFonts w:cs="Arial"/>
          <w:b/>
          <w:bCs/>
          <w:color w:val="333333"/>
          <w:sz w:val="28"/>
          <w:szCs w:val="28"/>
        </w:rPr>
      </w:pPr>
      <w:r w:rsidRPr="00D043C5">
        <w:rPr>
          <w:rFonts w:cs="Arial"/>
          <w:color w:val="auto"/>
          <w:sz w:val="22"/>
          <w:szCs w:val="22"/>
        </w:rPr>
        <w:t>Long term, institutional investors can be part of the delivery of new supply. Short term they should take steps to reduce reliance on extreme, top-line, market rental growth.</w:t>
      </w:r>
    </w:p>
    <w:p w14:paraId="6B79575A" w14:textId="77777777" w:rsidR="003B487A" w:rsidRPr="00D043C5" w:rsidRDefault="003B487A" w:rsidP="1E14EC41">
      <w:pPr>
        <w:pStyle w:val="Bullet"/>
        <w:numPr>
          <w:ilvl w:val="0"/>
          <w:numId w:val="0"/>
        </w:numPr>
        <w:spacing w:after="0" w:line="276" w:lineRule="auto"/>
        <w:ind w:right="283"/>
        <w:jc w:val="both"/>
        <w:rPr>
          <w:rFonts w:cs="Arial"/>
          <w:color w:val="333333"/>
          <w:sz w:val="22"/>
          <w:szCs w:val="22"/>
        </w:rPr>
      </w:pPr>
    </w:p>
    <w:p w14:paraId="01912D89" w14:textId="3565F2AE" w:rsidR="00A47763" w:rsidRPr="00D043C5" w:rsidRDefault="00A47763" w:rsidP="1E14EC41">
      <w:pPr>
        <w:pStyle w:val="Bullet"/>
        <w:numPr>
          <w:ilvl w:val="0"/>
          <w:numId w:val="0"/>
        </w:numPr>
        <w:spacing w:after="0" w:line="276" w:lineRule="auto"/>
        <w:ind w:right="283"/>
        <w:jc w:val="both"/>
        <w:rPr>
          <w:rFonts w:cs="Arial"/>
          <w:b/>
          <w:bCs/>
          <w:color w:val="333333"/>
          <w:sz w:val="22"/>
          <w:szCs w:val="22"/>
        </w:rPr>
      </w:pPr>
      <w:r w:rsidRPr="00D043C5">
        <w:rPr>
          <w:rFonts w:cs="Arial"/>
          <w:b/>
          <w:bCs/>
          <w:color w:val="333333"/>
          <w:sz w:val="22"/>
          <w:szCs w:val="22"/>
        </w:rPr>
        <w:t>Logistics</w:t>
      </w:r>
      <w:r w:rsidR="0087311B" w:rsidRPr="00D043C5">
        <w:rPr>
          <w:rFonts w:cs="Arial"/>
          <w:b/>
          <w:bCs/>
          <w:color w:val="333333"/>
          <w:sz w:val="22"/>
          <w:szCs w:val="22"/>
        </w:rPr>
        <w:t xml:space="preserve"> &amp; Industrial</w:t>
      </w:r>
    </w:p>
    <w:p w14:paraId="2A4877A6" w14:textId="77777777" w:rsidR="00EA6730" w:rsidRPr="00D043C5" w:rsidRDefault="00EA6730" w:rsidP="1E14EC41">
      <w:pPr>
        <w:pStyle w:val="Bullet"/>
        <w:numPr>
          <w:ilvl w:val="0"/>
          <w:numId w:val="6"/>
        </w:numPr>
        <w:spacing w:after="0" w:line="276" w:lineRule="auto"/>
        <w:ind w:right="283"/>
        <w:jc w:val="both"/>
        <w:rPr>
          <w:rFonts w:cs="Arial"/>
          <w:color w:val="auto"/>
          <w:sz w:val="22"/>
          <w:szCs w:val="22"/>
        </w:rPr>
      </w:pPr>
      <w:r w:rsidRPr="00D043C5">
        <w:rPr>
          <w:rFonts w:cs="Arial"/>
          <w:color w:val="auto"/>
          <w:sz w:val="22"/>
          <w:szCs w:val="22"/>
        </w:rPr>
        <w:t xml:space="preserve">Considering the changed interest rate landscape, the factors driving future industrial and logistics returns are transitioning from cap rate tightening to rent growth; and real rental growth predictions are sound. The excess occupier demand is structural for the core industrial and logistics locations, and rents will continue to rise. </w:t>
      </w:r>
    </w:p>
    <w:p w14:paraId="3B97E345" w14:textId="77777777" w:rsidR="004D1F38" w:rsidRPr="00D043C5" w:rsidRDefault="004D1F38" w:rsidP="1E14EC41">
      <w:pPr>
        <w:pStyle w:val="Bullet"/>
        <w:numPr>
          <w:ilvl w:val="0"/>
          <w:numId w:val="6"/>
        </w:numPr>
        <w:spacing w:after="0" w:line="276" w:lineRule="auto"/>
        <w:ind w:right="283"/>
        <w:jc w:val="both"/>
        <w:rPr>
          <w:rFonts w:cs="Arial"/>
          <w:color w:val="auto"/>
          <w:sz w:val="22"/>
          <w:szCs w:val="22"/>
        </w:rPr>
      </w:pPr>
      <w:r w:rsidRPr="00D043C5">
        <w:rPr>
          <w:rFonts w:cs="Arial"/>
          <w:color w:val="auto"/>
          <w:sz w:val="22"/>
          <w:szCs w:val="22"/>
        </w:rPr>
        <w:t xml:space="preserve">Rental growth will be supported by low vacancy rates, and new supply constrained by high finance and development costs. </w:t>
      </w:r>
    </w:p>
    <w:p w14:paraId="7896F36E" w14:textId="12EE20A1" w:rsidR="00D87052" w:rsidRPr="00D043C5" w:rsidRDefault="004D1F38" w:rsidP="1E14EC41">
      <w:pPr>
        <w:pStyle w:val="Bullet"/>
        <w:numPr>
          <w:ilvl w:val="0"/>
          <w:numId w:val="6"/>
        </w:numPr>
        <w:spacing w:after="0" w:line="276" w:lineRule="auto"/>
        <w:ind w:right="283"/>
        <w:jc w:val="both"/>
        <w:rPr>
          <w:rFonts w:cs="Arial"/>
          <w:color w:val="auto"/>
          <w:sz w:val="22"/>
          <w:szCs w:val="22"/>
        </w:rPr>
      </w:pPr>
      <w:r w:rsidRPr="00D043C5">
        <w:rPr>
          <w:rFonts w:cs="Arial"/>
          <w:color w:val="auto"/>
          <w:sz w:val="22"/>
          <w:szCs w:val="22"/>
        </w:rPr>
        <w:t>Poor quality of existing stock</w:t>
      </w:r>
      <w:r w:rsidR="00A24DF2" w:rsidRPr="00D043C5">
        <w:rPr>
          <w:rFonts w:cs="Arial"/>
          <w:color w:val="auto"/>
          <w:sz w:val="22"/>
          <w:szCs w:val="22"/>
        </w:rPr>
        <w:t xml:space="preserve"> is also a factor, with many buildings being</w:t>
      </w:r>
      <w:r w:rsidR="00396A2D" w:rsidRPr="00D043C5">
        <w:rPr>
          <w:rFonts w:cs="Arial"/>
          <w:color w:val="auto"/>
          <w:sz w:val="22"/>
          <w:szCs w:val="22"/>
        </w:rPr>
        <w:t xml:space="preserve"> outdated for</w:t>
      </w:r>
      <w:r w:rsidR="00A24DF2" w:rsidRPr="00D043C5">
        <w:rPr>
          <w:rFonts w:cs="Arial"/>
          <w:color w:val="auto"/>
          <w:sz w:val="22"/>
          <w:szCs w:val="22"/>
        </w:rPr>
        <w:t xml:space="preserve"> </w:t>
      </w:r>
      <w:r w:rsidR="00396A2D" w:rsidRPr="00D043C5">
        <w:rPr>
          <w:rFonts w:cs="Arial"/>
          <w:color w:val="auto"/>
          <w:sz w:val="22"/>
          <w:szCs w:val="22"/>
        </w:rPr>
        <w:t>operational and energy performance requirements.</w:t>
      </w:r>
    </w:p>
    <w:p w14:paraId="479CB14C" w14:textId="7986EDDE" w:rsidR="00D87052" w:rsidRPr="00D043C5" w:rsidRDefault="00D87052" w:rsidP="1E14EC41">
      <w:pPr>
        <w:pStyle w:val="Bullet"/>
        <w:numPr>
          <w:ilvl w:val="0"/>
          <w:numId w:val="6"/>
        </w:numPr>
        <w:spacing w:after="0" w:line="276" w:lineRule="auto"/>
        <w:ind w:right="283"/>
        <w:jc w:val="both"/>
        <w:rPr>
          <w:rFonts w:cs="Arial"/>
          <w:color w:val="auto"/>
          <w:sz w:val="22"/>
          <w:szCs w:val="22"/>
        </w:rPr>
      </w:pPr>
      <w:r w:rsidRPr="00D043C5">
        <w:rPr>
          <w:rFonts w:cs="Arial"/>
          <w:color w:val="auto"/>
          <w:sz w:val="22"/>
          <w:szCs w:val="22"/>
        </w:rPr>
        <w:t>Proximity to customers and business partners is becoming the key success criterion for efficient and robust value and supply chains, and this is evident globally. Whilst occupiers might seek to pay less to reflect the economic conditions, they will pay more for operationally efficient buildings, taking up less space, but paying higher rents per sq metre.</w:t>
      </w:r>
    </w:p>
    <w:p w14:paraId="14AECA6A" w14:textId="1D7C9654" w:rsidR="00174591" w:rsidRPr="00D043C5" w:rsidRDefault="00174591" w:rsidP="1E14EC41">
      <w:pPr>
        <w:pStyle w:val="Bullet"/>
        <w:numPr>
          <w:ilvl w:val="0"/>
          <w:numId w:val="0"/>
        </w:numPr>
        <w:spacing w:after="0" w:line="276" w:lineRule="auto"/>
        <w:ind w:left="720" w:right="283"/>
        <w:jc w:val="both"/>
        <w:rPr>
          <w:rFonts w:cs="Arial"/>
          <w:color w:val="auto"/>
          <w:sz w:val="22"/>
          <w:szCs w:val="22"/>
        </w:rPr>
      </w:pPr>
      <w:r w:rsidRPr="00D043C5">
        <w:rPr>
          <w:rFonts w:cs="Arial"/>
          <w:color w:val="auto"/>
          <w:sz w:val="22"/>
          <w:szCs w:val="22"/>
        </w:rPr>
        <w:t xml:space="preserve">Urban industrial &amp; logistics assets continue to look attractive. </w:t>
      </w:r>
      <w:r w:rsidR="006908D0" w:rsidRPr="00D043C5">
        <w:rPr>
          <w:rFonts w:cs="Arial"/>
          <w:color w:val="auto"/>
          <w:sz w:val="22"/>
          <w:szCs w:val="22"/>
        </w:rPr>
        <w:t xml:space="preserve">Connecting the fundamentals of need for urban facilities and the shortage of available land, suggests the opportunity for more intensive use of suitable sites and these commanding higher rent and capital values. </w:t>
      </w:r>
    </w:p>
    <w:p w14:paraId="3253F758" w14:textId="77777777" w:rsidR="50D67F4C" w:rsidRPr="00D043C5" w:rsidRDefault="50D67F4C" w:rsidP="1E14EC41">
      <w:pPr>
        <w:pStyle w:val="Bullet"/>
        <w:numPr>
          <w:ilvl w:val="0"/>
          <w:numId w:val="0"/>
        </w:numPr>
        <w:spacing w:after="0" w:line="276" w:lineRule="auto"/>
        <w:ind w:right="283"/>
        <w:jc w:val="both"/>
        <w:rPr>
          <w:rFonts w:cs="Arial"/>
          <w:b/>
          <w:bCs/>
          <w:color w:val="auto"/>
          <w:sz w:val="22"/>
          <w:szCs w:val="22"/>
        </w:rPr>
      </w:pPr>
      <w:r w:rsidRPr="00D043C5">
        <w:rPr>
          <w:rFonts w:cs="Arial"/>
          <w:b/>
          <w:bCs/>
          <w:color w:val="auto"/>
          <w:sz w:val="22"/>
          <w:szCs w:val="22"/>
        </w:rPr>
        <w:t>Debt</w:t>
      </w:r>
    </w:p>
    <w:p w14:paraId="1FAB372D" w14:textId="0B0B6393" w:rsidR="50D67F4C" w:rsidRPr="00D043C5" w:rsidRDefault="50D67F4C" w:rsidP="1E14EC41">
      <w:pPr>
        <w:pStyle w:val="Bullet"/>
        <w:numPr>
          <w:ilvl w:val="0"/>
          <w:numId w:val="8"/>
        </w:numPr>
        <w:spacing w:after="0" w:line="276" w:lineRule="auto"/>
        <w:ind w:right="283"/>
        <w:jc w:val="both"/>
        <w:rPr>
          <w:rFonts w:cs="Arial"/>
          <w:color w:val="auto"/>
          <w:sz w:val="22"/>
          <w:szCs w:val="22"/>
        </w:rPr>
      </w:pPr>
      <w:r w:rsidRPr="00D043C5">
        <w:rPr>
          <w:rFonts w:cs="Arial"/>
          <w:color w:val="auto"/>
          <w:sz w:val="22"/>
          <w:szCs w:val="22"/>
        </w:rPr>
        <w:t xml:space="preserve">Real estate debt markets are experiencing several supportive trends which in our view creates a compelling opportunity today. </w:t>
      </w:r>
    </w:p>
    <w:p w14:paraId="5E7C4007" w14:textId="13B0C8AD" w:rsidR="50D67F4C" w:rsidRPr="00D043C5" w:rsidRDefault="50D67F4C" w:rsidP="1E14EC41">
      <w:pPr>
        <w:pStyle w:val="Bullet"/>
        <w:numPr>
          <w:ilvl w:val="0"/>
          <w:numId w:val="8"/>
        </w:numPr>
        <w:spacing w:after="0" w:line="276" w:lineRule="auto"/>
        <w:ind w:right="283"/>
        <w:jc w:val="both"/>
        <w:rPr>
          <w:rFonts w:cs="Arial"/>
          <w:color w:val="auto"/>
          <w:sz w:val="22"/>
          <w:szCs w:val="22"/>
        </w:rPr>
      </w:pPr>
      <w:r w:rsidRPr="00D043C5">
        <w:rPr>
          <w:rFonts w:cs="Arial"/>
          <w:color w:val="auto"/>
          <w:sz w:val="22"/>
          <w:szCs w:val="22"/>
        </w:rPr>
        <w:t>Declining availability of debt financing, real estate yield rerating, and rising interest rates have created favourable return conditions.</w:t>
      </w:r>
    </w:p>
    <w:p w14:paraId="2F5564E3" w14:textId="2A02AE61" w:rsidR="50D67F4C" w:rsidRPr="00D043C5" w:rsidRDefault="50D67F4C" w:rsidP="1E14EC41">
      <w:pPr>
        <w:pStyle w:val="Bullet"/>
        <w:numPr>
          <w:ilvl w:val="0"/>
          <w:numId w:val="8"/>
        </w:numPr>
        <w:spacing w:after="0" w:line="276" w:lineRule="auto"/>
        <w:ind w:right="283"/>
        <w:jc w:val="both"/>
        <w:rPr>
          <w:rFonts w:cs="Arial"/>
          <w:color w:val="auto"/>
          <w:sz w:val="22"/>
          <w:szCs w:val="22"/>
        </w:rPr>
      </w:pPr>
      <w:r w:rsidRPr="00D043C5">
        <w:rPr>
          <w:rFonts w:cs="Arial"/>
          <w:color w:val="auto"/>
          <w:sz w:val="22"/>
          <w:szCs w:val="22"/>
        </w:rPr>
        <w:t>Lenders should be considering whether their equity cushions need to be checked for potentially unprecedented capital movements. In times of heightened cyclical market uncertainties, senior real estate lending protected by the cushion of high equity represents an appealing investment approach for institutional investors.</w:t>
      </w:r>
    </w:p>
    <w:p w14:paraId="2B2AEB71" w14:textId="05E197BB" w:rsidR="1E14EC41" w:rsidRPr="00D043C5" w:rsidRDefault="1E14EC41" w:rsidP="00D043C5">
      <w:pPr>
        <w:pStyle w:val="Bullet"/>
        <w:numPr>
          <w:ilvl w:val="0"/>
          <w:numId w:val="0"/>
        </w:numPr>
        <w:spacing w:after="0" w:line="276" w:lineRule="auto"/>
        <w:ind w:right="283"/>
        <w:jc w:val="both"/>
        <w:rPr>
          <w:rFonts w:eastAsia="Calibri" w:cs="Arial"/>
          <w:color w:val="auto"/>
          <w:sz w:val="22"/>
          <w:szCs w:val="22"/>
        </w:rPr>
      </w:pPr>
    </w:p>
    <w:p w14:paraId="11560DCD" w14:textId="081C9722" w:rsidR="34E5E77C" w:rsidRPr="00D043C5" w:rsidRDefault="34E5E77C" w:rsidP="00D043C5">
      <w:pPr>
        <w:pStyle w:val="Bullet"/>
        <w:numPr>
          <w:ilvl w:val="0"/>
          <w:numId w:val="0"/>
        </w:numPr>
        <w:spacing w:after="0" w:line="276" w:lineRule="auto"/>
        <w:ind w:right="283"/>
        <w:jc w:val="both"/>
        <w:rPr>
          <w:rFonts w:cs="Arial"/>
          <w:b/>
          <w:bCs/>
          <w:color w:val="auto"/>
          <w:sz w:val="22"/>
          <w:szCs w:val="22"/>
        </w:rPr>
      </w:pPr>
      <w:r w:rsidRPr="00D043C5">
        <w:rPr>
          <w:rFonts w:cs="Arial"/>
          <w:b/>
          <w:bCs/>
          <w:color w:val="auto"/>
          <w:sz w:val="22"/>
          <w:szCs w:val="22"/>
        </w:rPr>
        <w:t xml:space="preserve">Natural Capital   </w:t>
      </w:r>
    </w:p>
    <w:p w14:paraId="0FD1A5FD" w14:textId="16A67E44" w:rsidR="34E5E77C" w:rsidRPr="00D043C5" w:rsidRDefault="34E5E77C" w:rsidP="00D043C5">
      <w:pPr>
        <w:pStyle w:val="Akapitzlist"/>
        <w:spacing w:line="259" w:lineRule="auto"/>
        <w:rPr>
          <w:rFonts w:ascii="Arial" w:eastAsia="Calibri" w:hAnsi="Arial" w:cs="Arial"/>
          <w:color w:val="000000" w:themeColor="text1"/>
          <w:lang w:val="en-US"/>
        </w:rPr>
      </w:pPr>
      <w:r w:rsidRPr="00D043C5">
        <w:rPr>
          <w:rFonts w:ascii="Arial" w:eastAsia="Arial Nova" w:hAnsi="Arial" w:cs="Arial"/>
          <w:color w:val="000000" w:themeColor="text1"/>
        </w:rPr>
        <w:t xml:space="preserve">“The economy is a wholly owned subsidiary of the environment, not the reverse”.  The word “capital” reminds us that nature is an asset which has a value that can be enhanced or destroyed. Nature is invaluable given our reliance on it and its life supporting ecosystems. </w:t>
      </w:r>
    </w:p>
    <w:p w14:paraId="00EA31DF" w14:textId="7543C3C9" w:rsidR="34E5E77C" w:rsidRPr="00D043C5" w:rsidRDefault="34E5E77C" w:rsidP="00D043C5">
      <w:pPr>
        <w:pStyle w:val="Akapitzlist"/>
        <w:spacing w:line="259" w:lineRule="auto"/>
        <w:rPr>
          <w:rFonts w:ascii="Arial" w:eastAsia="Calibri" w:hAnsi="Arial" w:cs="Arial"/>
          <w:color w:val="000000" w:themeColor="text1"/>
          <w:lang w:val="en-US"/>
        </w:rPr>
      </w:pPr>
      <w:r w:rsidRPr="00D043C5">
        <w:rPr>
          <w:rFonts w:ascii="Arial" w:eastAsia="Arial Nova" w:hAnsi="Arial" w:cs="Arial"/>
          <w:color w:val="000000" w:themeColor="text1"/>
        </w:rPr>
        <w:lastRenderedPageBreak/>
        <w:t>Approaches to reduce greenhouse gas emissions, sequester carbon dioxide and lock up carbon and in turn, create high integrity carbon units, bundled with multiple co-benefits including biodiversity enhancement produce voluntary verified carbon units that can be used to meet net zero ambitions or sold.</w:t>
      </w:r>
    </w:p>
    <w:p w14:paraId="48C252CB" w14:textId="126BB55B" w:rsidR="1E14EC41" w:rsidRPr="00D043C5" w:rsidRDefault="1E14EC41" w:rsidP="00D043C5">
      <w:pPr>
        <w:pStyle w:val="Bullet"/>
        <w:numPr>
          <w:ilvl w:val="0"/>
          <w:numId w:val="0"/>
        </w:numPr>
        <w:spacing w:after="0" w:line="276" w:lineRule="auto"/>
        <w:ind w:left="360" w:right="283"/>
        <w:jc w:val="both"/>
        <w:rPr>
          <w:rFonts w:eastAsia="Calibri" w:cs="Arial"/>
          <w:sz w:val="22"/>
          <w:szCs w:val="22"/>
        </w:rPr>
      </w:pPr>
    </w:p>
    <w:p w14:paraId="45C07145" w14:textId="77777777" w:rsidR="00A47763" w:rsidRPr="00D043C5" w:rsidRDefault="00A47763" w:rsidP="00D043C5">
      <w:pPr>
        <w:pStyle w:val="Bullet"/>
        <w:numPr>
          <w:ilvl w:val="0"/>
          <w:numId w:val="0"/>
        </w:numPr>
        <w:spacing w:after="0" w:line="276" w:lineRule="auto"/>
        <w:ind w:left="720" w:right="283"/>
        <w:jc w:val="both"/>
        <w:rPr>
          <w:rFonts w:cs="Arial"/>
          <w:color w:val="auto"/>
          <w:sz w:val="22"/>
          <w:szCs w:val="22"/>
        </w:rPr>
      </w:pPr>
    </w:p>
    <w:p w14:paraId="02C63092" w14:textId="77777777" w:rsidR="00A47763" w:rsidRPr="00D043C5" w:rsidRDefault="00A47763" w:rsidP="00D043C5">
      <w:pPr>
        <w:pStyle w:val="Bullet"/>
        <w:numPr>
          <w:ilvl w:val="0"/>
          <w:numId w:val="0"/>
        </w:numPr>
        <w:spacing w:after="0" w:line="276" w:lineRule="auto"/>
        <w:ind w:right="283"/>
        <w:jc w:val="both"/>
        <w:rPr>
          <w:rFonts w:cs="Arial"/>
          <w:b/>
          <w:bCs/>
          <w:color w:val="333333"/>
          <w:sz w:val="22"/>
          <w:szCs w:val="22"/>
        </w:rPr>
      </w:pPr>
      <w:r w:rsidRPr="00D043C5">
        <w:rPr>
          <w:rFonts w:cs="Arial"/>
          <w:b/>
          <w:bCs/>
          <w:color w:val="333333"/>
          <w:sz w:val="22"/>
          <w:szCs w:val="22"/>
        </w:rPr>
        <w:t>Retail</w:t>
      </w:r>
    </w:p>
    <w:p w14:paraId="7B8EB92A" w14:textId="7CBC7A38" w:rsidR="004A3A2B" w:rsidRPr="00D043C5" w:rsidRDefault="004A3A2B" w:rsidP="00D043C5">
      <w:pPr>
        <w:pStyle w:val="Bullet"/>
        <w:numPr>
          <w:ilvl w:val="0"/>
          <w:numId w:val="7"/>
        </w:numPr>
        <w:spacing w:after="0" w:line="276" w:lineRule="auto"/>
        <w:ind w:right="283"/>
        <w:jc w:val="both"/>
        <w:rPr>
          <w:rFonts w:cs="Arial"/>
          <w:color w:val="auto"/>
          <w:sz w:val="22"/>
          <w:szCs w:val="22"/>
        </w:rPr>
      </w:pPr>
      <w:r w:rsidRPr="00D043C5">
        <w:rPr>
          <w:rFonts w:cs="Arial"/>
          <w:color w:val="auto"/>
          <w:sz w:val="22"/>
          <w:szCs w:val="22"/>
        </w:rPr>
        <w:t>We</w:t>
      </w:r>
      <w:r w:rsidR="0070584F" w:rsidRPr="00D043C5">
        <w:rPr>
          <w:rFonts w:cs="Arial"/>
          <w:color w:val="auto"/>
          <w:sz w:val="22"/>
          <w:szCs w:val="22"/>
        </w:rPr>
        <w:t xml:space="preserve"> see opportunities in the high income return that retail offers, with parts of the market supported by compelling fundamental drivers.  Retail has moved from being one of the lower income sectors to the highest.</w:t>
      </w:r>
    </w:p>
    <w:p w14:paraId="135D51D0" w14:textId="4F942CA3" w:rsidR="00DE2E5F" w:rsidRPr="00D043C5" w:rsidRDefault="00DE2E5F" w:rsidP="00D043C5">
      <w:pPr>
        <w:pStyle w:val="Bullet"/>
        <w:numPr>
          <w:ilvl w:val="0"/>
          <w:numId w:val="7"/>
        </w:numPr>
        <w:spacing w:after="0" w:line="276" w:lineRule="auto"/>
        <w:ind w:right="283"/>
        <w:jc w:val="both"/>
        <w:rPr>
          <w:rFonts w:cs="Arial"/>
          <w:color w:val="auto"/>
          <w:sz w:val="22"/>
          <w:szCs w:val="22"/>
        </w:rPr>
      </w:pPr>
      <w:r w:rsidRPr="00D043C5">
        <w:rPr>
          <w:rFonts w:cs="Arial"/>
          <w:color w:val="auto"/>
          <w:sz w:val="22"/>
          <w:szCs w:val="22"/>
        </w:rPr>
        <w:t>Although structural and cyclical issues have proved challenging over recent years</w:t>
      </w:r>
      <w:r w:rsidR="009D2971" w:rsidRPr="00D043C5">
        <w:rPr>
          <w:rFonts w:cs="Arial"/>
          <w:color w:val="auto"/>
          <w:sz w:val="22"/>
          <w:szCs w:val="22"/>
        </w:rPr>
        <w:t xml:space="preserve">, </w:t>
      </w:r>
      <w:r w:rsidR="004A3A2B" w:rsidRPr="00D043C5">
        <w:rPr>
          <w:rFonts w:cs="Arial"/>
          <w:color w:val="auto"/>
          <w:sz w:val="22"/>
          <w:szCs w:val="22"/>
        </w:rPr>
        <w:t>we</w:t>
      </w:r>
      <w:r w:rsidR="009D2971" w:rsidRPr="00D043C5">
        <w:rPr>
          <w:rFonts w:cs="Arial"/>
          <w:color w:val="auto"/>
          <w:sz w:val="22"/>
          <w:szCs w:val="22"/>
        </w:rPr>
        <w:t xml:space="preserve"> believe </w:t>
      </w:r>
      <w:r w:rsidR="004A3A2B" w:rsidRPr="00D043C5">
        <w:rPr>
          <w:rFonts w:cs="Arial"/>
          <w:color w:val="auto"/>
          <w:sz w:val="22"/>
          <w:szCs w:val="22"/>
        </w:rPr>
        <w:t>that the structural challenges (sales diversion) are clear and that the cyclical challenges (cost of living) will repair over 2024 and beyond.</w:t>
      </w:r>
      <w:r w:rsidR="009702E3" w:rsidRPr="00D043C5">
        <w:rPr>
          <w:rFonts w:cs="Arial"/>
          <w:color w:val="auto"/>
          <w:sz w:val="22"/>
          <w:szCs w:val="22"/>
        </w:rPr>
        <w:t xml:space="preserve"> This has different implications for the various parts of the retail sector and investors should recognise the breadth of risk and opportunity.</w:t>
      </w:r>
    </w:p>
    <w:p w14:paraId="3F0931BB" w14:textId="77777777" w:rsidR="005C1896" w:rsidRPr="00D043C5" w:rsidRDefault="00431572" w:rsidP="00D043C5">
      <w:pPr>
        <w:pStyle w:val="Bullet"/>
        <w:numPr>
          <w:ilvl w:val="0"/>
          <w:numId w:val="6"/>
        </w:numPr>
        <w:spacing w:after="0" w:line="276" w:lineRule="auto"/>
        <w:ind w:right="283"/>
        <w:jc w:val="both"/>
        <w:rPr>
          <w:rFonts w:cs="Arial"/>
          <w:color w:val="auto"/>
          <w:sz w:val="22"/>
          <w:szCs w:val="22"/>
        </w:rPr>
      </w:pPr>
      <w:r w:rsidRPr="00D043C5">
        <w:rPr>
          <w:rFonts w:cs="Arial"/>
          <w:color w:val="auto"/>
          <w:sz w:val="22"/>
          <w:szCs w:val="22"/>
        </w:rPr>
        <w:t>Ecommerce continues to dilute spending through physical shops, but we</w:t>
      </w:r>
      <w:r w:rsidR="005C1896" w:rsidRPr="00D043C5">
        <w:rPr>
          <w:rFonts w:cs="Arial"/>
          <w:color w:val="auto"/>
          <w:sz w:val="22"/>
          <w:szCs w:val="22"/>
        </w:rPr>
        <w:t xml:space="preserve"> sense footfall in Europe’s main retail destinations has returned strongly, consumers enjoying the therapy of physically shopping in compelling, diverse, and entertaining retail environments.</w:t>
      </w:r>
    </w:p>
    <w:p w14:paraId="1971301C" w14:textId="7A8AEF3F" w:rsidR="004044B8" w:rsidRPr="00D043C5" w:rsidRDefault="005C1896" w:rsidP="00D043C5">
      <w:pPr>
        <w:pStyle w:val="Bullet"/>
        <w:numPr>
          <w:ilvl w:val="0"/>
          <w:numId w:val="6"/>
        </w:numPr>
        <w:spacing w:after="0" w:line="276" w:lineRule="auto"/>
        <w:ind w:right="283"/>
        <w:jc w:val="both"/>
        <w:rPr>
          <w:rFonts w:cs="Arial"/>
          <w:color w:val="auto"/>
          <w:sz w:val="22"/>
          <w:szCs w:val="22"/>
        </w:rPr>
      </w:pPr>
      <w:r w:rsidRPr="00D043C5">
        <w:rPr>
          <w:rFonts w:cs="Arial"/>
          <w:color w:val="auto"/>
          <w:sz w:val="22"/>
          <w:szCs w:val="22"/>
        </w:rPr>
        <w:t xml:space="preserve">However, the target investment markets are much reduced, and investors need to be more forensic than ever around specific locations.  </w:t>
      </w:r>
    </w:p>
    <w:p w14:paraId="2AA41C4E" w14:textId="77777777" w:rsidR="00D043C5" w:rsidRDefault="00D043C5" w:rsidP="00D043C5">
      <w:pPr>
        <w:pStyle w:val="Bullet"/>
        <w:numPr>
          <w:ilvl w:val="0"/>
          <w:numId w:val="0"/>
        </w:numPr>
        <w:spacing w:after="0" w:line="276" w:lineRule="auto"/>
        <w:ind w:left="360" w:right="283"/>
        <w:jc w:val="both"/>
        <w:rPr>
          <w:rFonts w:cs="Arial"/>
          <w:b/>
          <w:bCs/>
          <w:color w:val="333333"/>
          <w:sz w:val="22"/>
          <w:szCs w:val="22"/>
        </w:rPr>
      </w:pPr>
    </w:p>
    <w:p w14:paraId="2C8A1501" w14:textId="5E3176B6" w:rsidR="6AC4171D" w:rsidRPr="00D043C5" w:rsidRDefault="6AC4171D" w:rsidP="00D043C5">
      <w:pPr>
        <w:pStyle w:val="Bullet"/>
        <w:numPr>
          <w:ilvl w:val="0"/>
          <w:numId w:val="0"/>
        </w:numPr>
        <w:spacing w:after="0" w:line="276" w:lineRule="auto"/>
        <w:ind w:left="360" w:right="283" w:hanging="360"/>
        <w:jc w:val="both"/>
        <w:rPr>
          <w:rFonts w:cs="Arial"/>
          <w:b/>
          <w:bCs/>
          <w:color w:val="333333"/>
          <w:sz w:val="22"/>
          <w:szCs w:val="22"/>
        </w:rPr>
      </w:pPr>
      <w:r w:rsidRPr="00D043C5">
        <w:rPr>
          <w:rFonts w:cs="Arial"/>
          <w:b/>
          <w:bCs/>
          <w:color w:val="333333"/>
          <w:sz w:val="22"/>
          <w:szCs w:val="22"/>
        </w:rPr>
        <w:t>Offices</w:t>
      </w:r>
    </w:p>
    <w:p w14:paraId="41BC1096" w14:textId="7372E6BD" w:rsidR="2E41FA86" w:rsidRPr="00D043C5" w:rsidRDefault="2E41FA86" w:rsidP="1E14EC41">
      <w:pPr>
        <w:pStyle w:val="Bullet"/>
        <w:numPr>
          <w:ilvl w:val="0"/>
          <w:numId w:val="5"/>
        </w:numPr>
        <w:spacing w:after="0" w:line="276" w:lineRule="auto"/>
        <w:ind w:right="283"/>
        <w:jc w:val="both"/>
        <w:rPr>
          <w:rFonts w:cs="Arial"/>
          <w:color w:val="333333"/>
          <w:sz w:val="22"/>
          <w:szCs w:val="22"/>
        </w:rPr>
      </w:pPr>
      <w:r w:rsidRPr="00D043C5">
        <w:rPr>
          <w:rFonts w:cs="Arial"/>
          <w:color w:val="333333"/>
          <w:sz w:val="22"/>
          <w:szCs w:val="22"/>
        </w:rPr>
        <w:t xml:space="preserve">The nature of occupational demand diverges considerably across </w:t>
      </w:r>
      <w:r w:rsidR="529078A7" w:rsidRPr="00D043C5">
        <w:rPr>
          <w:rFonts w:cs="Arial"/>
          <w:color w:val="333333"/>
          <w:sz w:val="22"/>
          <w:szCs w:val="22"/>
        </w:rPr>
        <w:t xml:space="preserve">Asia Pacific, Europe and </w:t>
      </w:r>
      <w:r w:rsidRPr="00D043C5">
        <w:rPr>
          <w:rFonts w:cs="Arial"/>
          <w:color w:val="333333"/>
          <w:sz w:val="22"/>
          <w:szCs w:val="22"/>
        </w:rPr>
        <w:t>North America</w:t>
      </w:r>
      <w:r w:rsidR="29221FEE" w:rsidRPr="00D043C5">
        <w:rPr>
          <w:rFonts w:cs="Arial"/>
          <w:color w:val="333333"/>
          <w:sz w:val="22"/>
          <w:szCs w:val="22"/>
        </w:rPr>
        <w:t xml:space="preserve"> with the former witnessing largely robust demand and confidence and the latter</w:t>
      </w:r>
      <w:r w:rsidR="7C848EFB" w:rsidRPr="00D043C5">
        <w:rPr>
          <w:rFonts w:cs="Arial"/>
          <w:color w:val="333333"/>
          <w:sz w:val="22"/>
          <w:szCs w:val="22"/>
        </w:rPr>
        <w:t xml:space="preserve"> struggling under a hybrid working and supply burden</w:t>
      </w:r>
      <w:r w:rsidR="22FA33C6" w:rsidRPr="00D043C5">
        <w:rPr>
          <w:rFonts w:cs="Arial"/>
          <w:color w:val="333333"/>
          <w:sz w:val="22"/>
          <w:szCs w:val="22"/>
        </w:rPr>
        <w:t xml:space="preserve">. </w:t>
      </w:r>
    </w:p>
    <w:p w14:paraId="4E101338" w14:textId="221C71B6" w:rsidR="2E41FA86" w:rsidRPr="00D043C5" w:rsidRDefault="2E41FA86" w:rsidP="1E14EC41">
      <w:pPr>
        <w:pStyle w:val="Bullet"/>
        <w:numPr>
          <w:ilvl w:val="0"/>
          <w:numId w:val="5"/>
        </w:numPr>
        <w:spacing w:after="0" w:line="276" w:lineRule="auto"/>
        <w:ind w:right="283"/>
        <w:jc w:val="both"/>
        <w:rPr>
          <w:rFonts w:cs="Arial"/>
          <w:color w:val="333333"/>
          <w:sz w:val="22"/>
          <w:szCs w:val="22"/>
        </w:rPr>
      </w:pPr>
      <w:r w:rsidRPr="00D043C5">
        <w:rPr>
          <w:rFonts w:cs="Arial"/>
          <w:color w:val="333333"/>
          <w:sz w:val="22"/>
          <w:szCs w:val="22"/>
        </w:rPr>
        <w:t>Acro</w:t>
      </w:r>
      <w:r w:rsidR="5F9E524C" w:rsidRPr="00D043C5">
        <w:rPr>
          <w:rFonts w:cs="Arial"/>
          <w:color w:val="333333"/>
          <w:sz w:val="22"/>
          <w:szCs w:val="22"/>
        </w:rPr>
        <w:t>s</w:t>
      </w:r>
      <w:r w:rsidRPr="00D043C5">
        <w:rPr>
          <w:rFonts w:cs="Arial"/>
          <w:color w:val="333333"/>
          <w:sz w:val="22"/>
          <w:szCs w:val="22"/>
        </w:rPr>
        <w:t>s Europe</w:t>
      </w:r>
      <w:r w:rsidR="13C9D736" w:rsidRPr="00D043C5">
        <w:rPr>
          <w:rFonts w:cs="Arial"/>
          <w:color w:val="333333"/>
          <w:sz w:val="22"/>
          <w:szCs w:val="22"/>
        </w:rPr>
        <w:t>,</w:t>
      </w:r>
      <w:r w:rsidRPr="00D043C5">
        <w:rPr>
          <w:rFonts w:cs="Arial"/>
          <w:color w:val="333333"/>
          <w:sz w:val="22"/>
          <w:szCs w:val="22"/>
        </w:rPr>
        <w:t xml:space="preserve"> t</w:t>
      </w:r>
      <w:r w:rsidR="6AC4171D" w:rsidRPr="00D043C5">
        <w:rPr>
          <w:rFonts w:cs="Arial"/>
          <w:color w:val="333333"/>
          <w:sz w:val="22"/>
          <w:szCs w:val="22"/>
        </w:rPr>
        <w:t xml:space="preserve">hree key factors are altering the nature of tenant demand and ultimately investor returns, namely: structurally weaker occupier demand; increasing lease flexibility; and energy efficiency and sustainability demands. </w:t>
      </w:r>
    </w:p>
    <w:p w14:paraId="6C8FFA1B" w14:textId="68964B56" w:rsidR="6AC4171D" w:rsidRPr="00D043C5" w:rsidRDefault="6AC4171D" w:rsidP="1E14EC41">
      <w:pPr>
        <w:pStyle w:val="Bullet"/>
        <w:numPr>
          <w:ilvl w:val="0"/>
          <w:numId w:val="5"/>
        </w:numPr>
        <w:spacing w:after="0" w:line="276" w:lineRule="auto"/>
        <w:ind w:right="283"/>
        <w:jc w:val="both"/>
        <w:rPr>
          <w:rFonts w:cs="Arial"/>
          <w:color w:val="333333"/>
          <w:sz w:val="22"/>
          <w:szCs w:val="22"/>
        </w:rPr>
      </w:pPr>
      <w:r w:rsidRPr="00D043C5">
        <w:rPr>
          <w:rFonts w:cs="Arial"/>
          <w:color w:val="333333"/>
          <w:sz w:val="22"/>
          <w:szCs w:val="22"/>
        </w:rPr>
        <w:t>As occupiers demand coalesces around higher quality, well-located, sustainable buildings, investors options are to acquire or create the best assets in the best locations. A near-term supply squeeze on grade-A stock is expected to drive rental growth for better quality stock.</w:t>
      </w:r>
    </w:p>
    <w:p w14:paraId="0E2FE7BD" w14:textId="14871B1F" w:rsidR="0087311B" w:rsidRPr="00D043C5" w:rsidRDefault="0087311B" w:rsidP="00D043C5">
      <w:pPr>
        <w:pStyle w:val="Bullet"/>
        <w:numPr>
          <w:ilvl w:val="0"/>
          <w:numId w:val="0"/>
        </w:numPr>
        <w:spacing w:after="0" w:line="276" w:lineRule="auto"/>
        <w:ind w:left="360" w:right="283" w:hanging="360"/>
        <w:jc w:val="both"/>
        <w:rPr>
          <w:rFonts w:cs="Arial"/>
          <w:b/>
          <w:color w:val="auto"/>
          <w:sz w:val="22"/>
          <w:szCs w:val="22"/>
        </w:rPr>
      </w:pPr>
    </w:p>
    <w:bookmarkEnd w:id="0"/>
    <w:p w14:paraId="20BDC0C2" w14:textId="77777777" w:rsidR="00AD0E0F" w:rsidRPr="00D043C5" w:rsidRDefault="00AD0E0F" w:rsidP="00AD0E0F">
      <w:pPr>
        <w:spacing w:before="100" w:beforeAutospacing="1" w:after="120" w:line="276" w:lineRule="auto"/>
        <w:jc w:val="center"/>
        <w:rPr>
          <w:rFonts w:ascii="Arial" w:eastAsia="Times New Roman" w:hAnsi="Arial" w:cs="Arial"/>
          <w:b/>
          <w:bCs/>
        </w:rPr>
      </w:pPr>
      <w:r w:rsidRPr="00D043C5">
        <w:rPr>
          <w:rFonts w:ascii="Arial" w:eastAsia="Times New Roman" w:hAnsi="Arial" w:cs="Arial"/>
          <w:b/>
          <w:bCs/>
        </w:rPr>
        <w:t>Ends</w:t>
      </w:r>
    </w:p>
    <w:p w14:paraId="2A9885E1" w14:textId="77777777" w:rsidR="00AD0E0F" w:rsidRPr="00D043C5" w:rsidRDefault="00AD0E0F" w:rsidP="00AD0E0F">
      <w:pPr>
        <w:spacing w:after="160" w:line="276" w:lineRule="auto"/>
        <w:rPr>
          <w:rFonts w:ascii="Arial" w:hAnsi="Arial" w:cs="Arial"/>
          <w:b/>
          <w:bCs/>
          <w:sz w:val="18"/>
          <w:szCs w:val="18"/>
          <w:lang w:val="en-US"/>
        </w:rPr>
      </w:pPr>
      <w:r w:rsidRPr="00D043C5">
        <w:rPr>
          <w:rFonts w:ascii="Arial" w:eastAsia="Arial" w:hAnsi="Arial" w:cs="Arial"/>
          <w:b/>
          <w:bCs/>
          <w:color w:val="000000" w:themeColor="text1"/>
          <w:sz w:val="18"/>
          <w:szCs w:val="18"/>
        </w:rPr>
        <w:t>Press contacts:</w:t>
      </w:r>
    </w:p>
    <w:p w14:paraId="3854D371" w14:textId="77777777" w:rsidR="00AD0E0F" w:rsidRPr="00D043C5" w:rsidRDefault="00AD0E0F" w:rsidP="00AD0E0F">
      <w:pPr>
        <w:spacing w:line="276" w:lineRule="auto"/>
        <w:rPr>
          <w:rFonts w:ascii="Arial" w:eastAsia="Arial" w:hAnsi="Arial" w:cs="Arial"/>
          <w:color w:val="000000" w:themeColor="text1"/>
          <w:sz w:val="18"/>
          <w:szCs w:val="18"/>
        </w:rPr>
      </w:pPr>
      <w:r w:rsidRPr="00D043C5">
        <w:rPr>
          <w:rFonts w:ascii="Arial" w:eastAsia="Arial" w:hAnsi="Arial" w:cs="Arial"/>
          <w:color w:val="000000" w:themeColor="text1"/>
          <w:sz w:val="18"/>
          <w:szCs w:val="18"/>
        </w:rPr>
        <w:t>Will Easton / Olivia Morton-Reece</w:t>
      </w:r>
    </w:p>
    <w:p w14:paraId="29407390" w14:textId="77777777" w:rsidR="00AD0E0F" w:rsidRPr="00D043C5" w:rsidRDefault="00AD0E0F" w:rsidP="00AD0E0F">
      <w:pPr>
        <w:spacing w:line="276" w:lineRule="auto"/>
        <w:rPr>
          <w:rFonts w:ascii="Arial" w:eastAsia="Arial" w:hAnsi="Arial" w:cs="Arial"/>
          <w:color w:val="000000" w:themeColor="text1"/>
          <w:sz w:val="18"/>
          <w:szCs w:val="18"/>
        </w:rPr>
      </w:pPr>
      <w:r w:rsidRPr="00D043C5">
        <w:rPr>
          <w:rFonts w:ascii="Arial" w:eastAsia="Arial" w:hAnsi="Arial" w:cs="Arial"/>
          <w:b/>
          <w:bCs/>
          <w:color w:val="000000" w:themeColor="text1"/>
          <w:sz w:val="18"/>
          <w:szCs w:val="18"/>
        </w:rPr>
        <w:t>Tel:</w:t>
      </w:r>
      <w:r w:rsidRPr="00D043C5">
        <w:rPr>
          <w:rFonts w:ascii="Arial" w:eastAsia="Arial" w:hAnsi="Arial" w:cs="Arial"/>
          <w:color w:val="000000" w:themeColor="text1"/>
          <w:sz w:val="18"/>
          <w:szCs w:val="18"/>
        </w:rPr>
        <w:t xml:space="preserve"> +44 (0) 7786 420 017 / +44 (0) 20 7025 6564</w:t>
      </w:r>
    </w:p>
    <w:p w14:paraId="289E292A" w14:textId="77777777" w:rsidR="00AD0E0F" w:rsidRPr="00D043C5" w:rsidRDefault="00AD0E0F" w:rsidP="00AD0E0F">
      <w:pPr>
        <w:spacing w:line="276" w:lineRule="auto"/>
        <w:rPr>
          <w:rFonts w:ascii="Arial" w:eastAsia="Calibri" w:hAnsi="Arial" w:cs="Arial"/>
          <w:color w:val="0563C1" w:themeColor="hyperlink"/>
          <w:sz w:val="18"/>
          <w:szCs w:val="18"/>
          <w:u w:val="single"/>
        </w:rPr>
      </w:pPr>
      <w:r w:rsidRPr="00D043C5">
        <w:rPr>
          <w:rFonts w:ascii="Arial" w:eastAsia="Arial" w:hAnsi="Arial" w:cs="Arial"/>
          <w:b/>
          <w:bCs/>
          <w:color w:val="000000" w:themeColor="text1"/>
          <w:sz w:val="18"/>
          <w:szCs w:val="18"/>
        </w:rPr>
        <w:t>E:</w:t>
      </w:r>
      <w:r w:rsidRPr="00D043C5">
        <w:rPr>
          <w:rFonts w:ascii="Arial" w:eastAsia="Arial" w:hAnsi="Arial" w:cs="Arial"/>
          <w:color w:val="000000" w:themeColor="text1"/>
          <w:sz w:val="18"/>
          <w:szCs w:val="18"/>
        </w:rPr>
        <w:t xml:space="preserve"> </w:t>
      </w:r>
      <w:hyperlink r:id="rId10" w:history="1">
        <w:r w:rsidRPr="00D043C5">
          <w:rPr>
            <w:rStyle w:val="Hipercze"/>
            <w:rFonts w:ascii="Arial" w:eastAsia="Calibri" w:hAnsi="Arial" w:cs="Arial"/>
            <w:sz w:val="18"/>
            <w:szCs w:val="18"/>
          </w:rPr>
          <w:t>savillsim@citigatedewerogerson.com</w:t>
        </w:r>
      </w:hyperlink>
    </w:p>
    <w:p w14:paraId="569DFF88" w14:textId="77777777" w:rsidR="00AD0E0F" w:rsidRPr="00D043C5" w:rsidRDefault="00AD0E0F" w:rsidP="00AD0E0F">
      <w:pPr>
        <w:spacing w:line="276" w:lineRule="auto"/>
        <w:rPr>
          <w:rStyle w:val="Hipercze"/>
          <w:rFonts w:ascii="Arial" w:eastAsia="Arial" w:hAnsi="Arial" w:cs="Arial"/>
          <w:sz w:val="18"/>
          <w:szCs w:val="18"/>
        </w:rPr>
      </w:pPr>
    </w:p>
    <w:p w14:paraId="0660E4FE" w14:textId="77777777" w:rsidR="00AD0E0F" w:rsidRPr="00D043C5" w:rsidRDefault="00AD0E0F" w:rsidP="00AD0E0F">
      <w:pPr>
        <w:spacing w:after="120" w:line="276" w:lineRule="auto"/>
        <w:rPr>
          <w:rFonts w:ascii="Arial" w:eastAsia="Arial" w:hAnsi="Arial" w:cs="Arial"/>
          <w:b/>
          <w:bCs/>
          <w:color w:val="000000" w:themeColor="text1"/>
          <w:sz w:val="18"/>
          <w:szCs w:val="18"/>
        </w:rPr>
      </w:pPr>
      <w:r w:rsidRPr="00D043C5">
        <w:rPr>
          <w:rFonts w:ascii="Arial" w:eastAsia="Arial" w:hAnsi="Arial" w:cs="Arial"/>
          <w:b/>
          <w:bCs/>
          <w:color w:val="000000" w:themeColor="text1"/>
          <w:sz w:val="18"/>
          <w:szCs w:val="18"/>
          <w:u w:val="single"/>
        </w:rPr>
        <w:t>About Savills Investment Management:</w:t>
      </w:r>
      <w:r w:rsidRPr="00D043C5">
        <w:rPr>
          <w:rFonts w:ascii="Arial" w:eastAsia="Arial" w:hAnsi="Arial" w:cs="Arial"/>
          <w:b/>
          <w:bCs/>
          <w:color w:val="000000" w:themeColor="text1"/>
          <w:sz w:val="18"/>
          <w:szCs w:val="18"/>
        </w:rPr>
        <w:t> </w:t>
      </w:r>
    </w:p>
    <w:p w14:paraId="4E3D9CEB" w14:textId="77777777" w:rsidR="00AD0E0F" w:rsidRPr="00D043C5" w:rsidRDefault="00AD0E0F" w:rsidP="00AD0E0F">
      <w:pPr>
        <w:numPr>
          <w:ilvl w:val="0"/>
          <w:numId w:val="36"/>
        </w:numPr>
        <w:spacing w:after="120" w:line="276" w:lineRule="auto"/>
        <w:rPr>
          <w:rFonts w:ascii="Arial" w:eastAsia="Arial" w:hAnsi="Arial" w:cs="Arial"/>
          <w:color w:val="000000" w:themeColor="text1"/>
          <w:sz w:val="18"/>
          <w:szCs w:val="18"/>
        </w:rPr>
      </w:pPr>
      <w:r w:rsidRPr="00D043C5">
        <w:rPr>
          <w:rFonts w:ascii="Arial" w:eastAsia="Arial" w:hAnsi="Arial" w:cs="Arial"/>
          <w:color w:val="000000" w:themeColor="text1"/>
          <w:sz w:val="18"/>
          <w:szCs w:val="18"/>
        </w:rPr>
        <w:t>Savills Investment Management is an international real estate investment manager with an established presence in 16 locations: Amsterdam, Bangkok, Frankfurt, Hamburg, Katowice, London, Luxembourg, Madrid, Milan, Munich, Paris, Singapore, Stockholm, Sydney, Tokyo and Warsaw.  </w:t>
      </w:r>
    </w:p>
    <w:p w14:paraId="2CB9C980" w14:textId="77777777" w:rsidR="00AD0E0F" w:rsidRPr="00D043C5" w:rsidRDefault="00AD0E0F" w:rsidP="00AD0E0F">
      <w:pPr>
        <w:numPr>
          <w:ilvl w:val="0"/>
          <w:numId w:val="36"/>
        </w:numPr>
        <w:spacing w:after="120" w:line="276" w:lineRule="auto"/>
        <w:rPr>
          <w:rFonts w:ascii="Arial" w:eastAsia="Arial" w:hAnsi="Arial" w:cs="Arial"/>
          <w:color w:val="000000" w:themeColor="text1"/>
          <w:sz w:val="18"/>
          <w:szCs w:val="18"/>
        </w:rPr>
      </w:pPr>
      <w:r w:rsidRPr="00D043C5">
        <w:rPr>
          <w:rFonts w:ascii="Arial" w:eastAsia="Arial" w:hAnsi="Arial" w:cs="Arial"/>
          <w:color w:val="000000" w:themeColor="text1"/>
          <w:sz w:val="18"/>
          <w:szCs w:val="18"/>
        </w:rPr>
        <w:t>As of June 2023, Savills Investment Management managed total assets under management of €24 billion.  </w:t>
      </w:r>
    </w:p>
    <w:p w14:paraId="6E73FD14" w14:textId="77777777" w:rsidR="00AD0E0F" w:rsidRPr="00D043C5" w:rsidRDefault="00AD0E0F" w:rsidP="00AD0E0F">
      <w:pPr>
        <w:numPr>
          <w:ilvl w:val="0"/>
          <w:numId w:val="36"/>
        </w:numPr>
        <w:spacing w:after="120" w:line="276" w:lineRule="auto"/>
        <w:rPr>
          <w:rFonts w:ascii="Arial" w:eastAsia="Arial" w:hAnsi="Arial" w:cs="Arial"/>
          <w:color w:val="000000" w:themeColor="text1"/>
          <w:sz w:val="18"/>
          <w:szCs w:val="18"/>
        </w:rPr>
      </w:pPr>
      <w:r w:rsidRPr="00D043C5">
        <w:rPr>
          <w:rFonts w:ascii="Arial" w:eastAsia="Arial" w:hAnsi="Arial" w:cs="Arial"/>
          <w:color w:val="000000" w:themeColor="text1"/>
          <w:sz w:val="18"/>
          <w:szCs w:val="18"/>
        </w:rPr>
        <w:t>Savills Investment Management is the brand name used to represent Savills Investment Management LLP and its subsidiaries.  </w:t>
      </w:r>
    </w:p>
    <w:p w14:paraId="72C0D057" w14:textId="77777777" w:rsidR="00AD0E0F" w:rsidRPr="00D043C5" w:rsidRDefault="00AD0E0F" w:rsidP="00AD0E0F">
      <w:pPr>
        <w:numPr>
          <w:ilvl w:val="0"/>
          <w:numId w:val="37"/>
        </w:numPr>
        <w:spacing w:after="120" w:line="276" w:lineRule="auto"/>
        <w:rPr>
          <w:rFonts w:ascii="Arial" w:eastAsia="Arial" w:hAnsi="Arial" w:cs="Arial"/>
          <w:color w:val="000000" w:themeColor="text1"/>
          <w:sz w:val="18"/>
          <w:szCs w:val="18"/>
        </w:rPr>
      </w:pPr>
      <w:r w:rsidRPr="00D043C5">
        <w:rPr>
          <w:rFonts w:ascii="Arial" w:eastAsia="Arial" w:hAnsi="Arial" w:cs="Arial"/>
          <w:color w:val="000000" w:themeColor="text1"/>
          <w:sz w:val="18"/>
          <w:szCs w:val="18"/>
        </w:rPr>
        <w:lastRenderedPageBreak/>
        <w:t>Savills Investment Management LLP is a limited liability partnership registered in England No: OC306423 authorised and regulated by the Financial Conduct Authority.    </w:t>
      </w:r>
    </w:p>
    <w:p w14:paraId="6A057EFB" w14:textId="77777777" w:rsidR="00AD0E0F" w:rsidRPr="00D043C5" w:rsidRDefault="00AD0E0F" w:rsidP="00AD0E0F">
      <w:pPr>
        <w:numPr>
          <w:ilvl w:val="0"/>
          <w:numId w:val="37"/>
        </w:numPr>
        <w:spacing w:after="120" w:line="276" w:lineRule="auto"/>
        <w:rPr>
          <w:rFonts w:ascii="Arial" w:eastAsia="Arial" w:hAnsi="Arial" w:cs="Arial"/>
          <w:color w:val="000000" w:themeColor="text1"/>
          <w:sz w:val="18"/>
          <w:szCs w:val="18"/>
        </w:rPr>
      </w:pPr>
      <w:r w:rsidRPr="00D043C5">
        <w:rPr>
          <w:rFonts w:ascii="Arial" w:eastAsia="Arial" w:hAnsi="Arial" w:cs="Arial"/>
          <w:color w:val="000000" w:themeColor="text1"/>
          <w:sz w:val="18"/>
          <w:szCs w:val="18"/>
        </w:rPr>
        <w:t>Savills Investment Management is regulated in the UK, Australia, Italy, Germany, Jersey, Japan, Luxembourg and Singapore.  </w:t>
      </w:r>
    </w:p>
    <w:p w14:paraId="6FE55A3E" w14:textId="77777777" w:rsidR="00AD0E0F" w:rsidRPr="00D043C5" w:rsidRDefault="00AD0E0F" w:rsidP="00AD0E0F">
      <w:pPr>
        <w:spacing w:after="120" w:line="276" w:lineRule="auto"/>
        <w:rPr>
          <w:rFonts w:ascii="Arial" w:hAnsi="Arial" w:cs="Arial"/>
        </w:rPr>
      </w:pPr>
      <w:r w:rsidRPr="00D043C5">
        <w:rPr>
          <w:rFonts w:ascii="Arial" w:eastAsia="Arial" w:hAnsi="Arial" w:cs="Arial"/>
          <w:color w:val="000000" w:themeColor="text1"/>
          <w:sz w:val="18"/>
          <w:szCs w:val="18"/>
        </w:rPr>
        <w:t>This communication is for information purposes only, the information contained is of a general nature and does not take into account any individual circumstances of the recipient. This communication constitutes neither investment advice nor an offer or an invitation to submit an offer for the acquisition or sale of units in an investment.  </w:t>
      </w:r>
    </w:p>
    <w:p w14:paraId="7081AE0D" w14:textId="6E1CEC16" w:rsidR="002B5F30" w:rsidRPr="00D043C5" w:rsidRDefault="002B5F30" w:rsidP="00D043C5">
      <w:pPr>
        <w:spacing w:after="120" w:line="276" w:lineRule="auto"/>
        <w:rPr>
          <w:rFonts w:ascii="Arial" w:hAnsi="Arial" w:cs="Arial"/>
        </w:rPr>
      </w:pPr>
    </w:p>
    <w:sectPr w:rsidR="002B5F30" w:rsidRPr="00D043C5" w:rsidSect="00D043C5">
      <w:headerReference w:type="default" r:id="rId11"/>
      <w:headerReference w:type="first" r:id="rId12"/>
      <w:pgSz w:w="11906" w:h="16838"/>
      <w:pgMar w:top="1720" w:right="1440" w:bottom="567" w:left="1440" w:header="993"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CD1BF9E" w16cex:dateUtc="2023-11-20T18:47:00Z"/>
  <w16cex:commentExtensible w16cex:durableId="7E336F8E" w16cex:dateUtc="2023-11-21T09: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B5FF6" w14:textId="77777777" w:rsidR="00DE14DD" w:rsidRDefault="00DE14DD">
      <w:r>
        <w:separator/>
      </w:r>
    </w:p>
  </w:endnote>
  <w:endnote w:type="continuationSeparator" w:id="0">
    <w:p w14:paraId="5B58DF45" w14:textId="77777777" w:rsidR="00DE14DD" w:rsidRDefault="00DE14DD">
      <w:r>
        <w:continuationSeparator/>
      </w:r>
    </w:p>
  </w:endnote>
  <w:endnote w:type="continuationNotice" w:id="1">
    <w:p w14:paraId="1D7EC1E1" w14:textId="77777777" w:rsidR="00DE14DD" w:rsidRDefault="00DE14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ova">
    <w:charset w:val="00"/>
    <w:family w:val="swiss"/>
    <w:pitch w:val="variable"/>
    <w:sig w:usb0="2000028F" w:usb1="00000002"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1FBC1" w14:textId="77777777" w:rsidR="00DE14DD" w:rsidRDefault="00DE14DD">
      <w:r>
        <w:separator/>
      </w:r>
    </w:p>
  </w:footnote>
  <w:footnote w:type="continuationSeparator" w:id="0">
    <w:p w14:paraId="45A8F182" w14:textId="77777777" w:rsidR="00DE14DD" w:rsidRDefault="00DE14DD">
      <w:r>
        <w:continuationSeparator/>
      </w:r>
    </w:p>
  </w:footnote>
  <w:footnote w:type="continuationNotice" w:id="1">
    <w:p w14:paraId="7C3B00A3" w14:textId="77777777" w:rsidR="00DE14DD" w:rsidRDefault="00DE14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146BA" w14:textId="77777777" w:rsidR="0011343A" w:rsidRDefault="00CF1D05">
    <w:pPr>
      <w:pStyle w:val="Nagwek"/>
    </w:pPr>
    <w:r>
      <w:t xml:space="preserve"> </w:t>
    </w:r>
    <w:r>
      <w:tab/>
    </w:r>
    <w:r>
      <w:tab/>
    </w:r>
    <w:r w:rsidRPr="00BD364C">
      <w:rPr>
        <w:rFonts w:ascii="Arial" w:hAnsi="Arial" w:cs="Arial"/>
        <w:b/>
      </w:rPr>
      <w:t>PRESS RELEASE</w:t>
    </w:r>
  </w:p>
  <w:p w14:paraId="61C30D2F" w14:textId="77777777" w:rsidR="0011343A" w:rsidRDefault="0011343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93D95" w14:textId="3ED79D92" w:rsidR="0011343A" w:rsidRDefault="00CF1D05" w:rsidP="0087311B">
    <w:pPr>
      <w:pStyle w:val="Nagwek"/>
      <w:tabs>
        <w:tab w:val="clear" w:pos="4513"/>
        <w:tab w:val="clear" w:pos="9026"/>
      </w:tabs>
    </w:pPr>
    <w:r>
      <w:rPr>
        <w:noProof/>
        <w:lang w:val="en-US" w:eastAsia="en-US"/>
      </w:rPr>
      <w:drawing>
        <wp:inline distT="0" distB="0" distL="0" distR="0" wp14:anchorId="5F3C4745" wp14:editId="5FB473E8">
          <wp:extent cx="1497603" cy="490855"/>
          <wp:effectExtent l="0" t="0" r="0" b="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151" cy="492673"/>
                  </a:xfrm>
                  <a:prstGeom prst="rect">
                    <a:avLst/>
                  </a:prstGeom>
                  <a:noFill/>
                </pic:spPr>
              </pic:pic>
            </a:graphicData>
          </a:graphic>
        </wp:inline>
      </w:drawing>
    </w:r>
    <w:r w:rsidR="0087311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06755"/>
    <w:multiLevelType w:val="hybridMultilevel"/>
    <w:tmpl w:val="58A42820"/>
    <w:lvl w:ilvl="0" w:tplc="04070005">
      <w:start w:val="1"/>
      <w:numFmt w:val="bullet"/>
      <w:pStyle w:val="Bullet"/>
      <w:lvlText w:val=""/>
      <w:lvlJc w:val="left"/>
      <w:pPr>
        <w:ind w:left="360" w:hanging="360"/>
      </w:pPr>
      <w:rPr>
        <w:rFonts w:ascii="Wingdings" w:hAnsi="Wingdings" w:hint="default"/>
        <w:color w:val="44546A" w:themeColor="text2"/>
      </w:rPr>
    </w:lvl>
    <w:lvl w:ilvl="1" w:tplc="04090003">
      <w:start w:val="1"/>
      <w:numFmt w:val="bullet"/>
      <w:lvlText w:val="o"/>
      <w:lvlJc w:val="left"/>
      <w:pPr>
        <w:ind w:left="513" w:hanging="360"/>
      </w:pPr>
      <w:rPr>
        <w:rFonts w:ascii="Courier New" w:hAnsi="Courier New" w:cs="Courier New" w:hint="default"/>
      </w:rPr>
    </w:lvl>
    <w:lvl w:ilvl="2" w:tplc="04090005">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1" w15:restartNumberingAfterBreak="0">
    <w:nsid w:val="0A6B5B4D"/>
    <w:multiLevelType w:val="hybridMultilevel"/>
    <w:tmpl w:val="DDA48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45BAE"/>
    <w:multiLevelType w:val="hybridMultilevel"/>
    <w:tmpl w:val="D38E7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0BE97"/>
    <w:multiLevelType w:val="hybridMultilevel"/>
    <w:tmpl w:val="FFFFFFFF"/>
    <w:lvl w:ilvl="0" w:tplc="97006DFC">
      <w:start w:val="1"/>
      <w:numFmt w:val="bullet"/>
      <w:lvlText w:val=""/>
      <w:lvlJc w:val="left"/>
      <w:pPr>
        <w:ind w:left="360" w:hanging="360"/>
      </w:pPr>
      <w:rPr>
        <w:rFonts w:ascii="Symbol" w:hAnsi="Symbol" w:hint="default"/>
      </w:rPr>
    </w:lvl>
    <w:lvl w:ilvl="1" w:tplc="CF020436">
      <w:start w:val="1"/>
      <w:numFmt w:val="bullet"/>
      <w:lvlText w:val="o"/>
      <w:lvlJc w:val="left"/>
      <w:pPr>
        <w:ind w:left="1440" w:hanging="360"/>
      </w:pPr>
      <w:rPr>
        <w:rFonts w:ascii="Courier New" w:hAnsi="Courier New" w:hint="default"/>
      </w:rPr>
    </w:lvl>
    <w:lvl w:ilvl="2" w:tplc="C64CF8C4">
      <w:start w:val="1"/>
      <w:numFmt w:val="bullet"/>
      <w:lvlText w:val=""/>
      <w:lvlJc w:val="left"/>
      <w:pPr>
        <w:ind w:left="2160" w:hanging="360"/>
      </w:pPr>
      <w:rPr>
        <w:rFonts w:ascii="Wingdings" w:hAnsi="Wingdings" w:hint="default"/>
      </w:rPr>
    </w:lvl>
    <w:lvl w:ilvl="3" w:tplc="2AD6B9D4">
      <w:start w:val="1"/>
      <w:numFmt w:val="bullet"/>
      <w:lvlText w:val=""/>
      <w:lvlJc w:val="left"/>
      <w:pPr>
        <w:ind w:left="2880" w:hanging="360"/>
      </w:pPr>
      <w:rPr>
        <w:rFonts w:ascii="Symbol" w:hAnsi="Symbol" w:hint="default"/>
      </w:rPr>
    </w:lvl>
    <w:lvl w:ilvl="4" w:tplc="AC0E2BF8">
      <w:start w:val="1"/>
      <w:numFmt w:val="bullet"/>
      <w:lvlText w:val="o"/>
      <w:lvlJc w:val="left"/>
      <w:pPr>
        <w:ind w:left="3600" w:hanging="360"/>
      </w:pPr>
      <w:rPr>
        <w:rFonts w:ascii="Courier New" w:hAnsi="Courier New" w:hint="default"/>
      </w:rPr>
    </w:lvl>
    <w:lvl w:ilvl="5" w:tplc="1BA85F98">
      <w:start w:val="1"/>
      <w:numFmt w:val="bullet"/>
      <w:lvlText w:val=""/>
      <w:lvlJc w:val="left"/>
      <w:pPr>
        <w:ind w:left="4320" w:hanging="360"/>
      </w:pPr>
      <w:rPr>
        <w:rFonts w:ascii="Wingdings" w:hAnsi="Wingdings" w:hint="default"/>
      </w:rPr>
    </w:lvl>
    <w:lvl w:ilvl="6" w:tplc="B346FF8E">
      <w:start w:val="1"/>
      <w:numFmt w:val="bullet"/>
      <w:lvlText w:val=""/>
      <w:lvlJc w:val="left"/>
      <w:pPr>
        <w:ind w:left="5040" w:hanging="360"/>
      </w:pPr>
      <w:rPr>
        <w:rFonts w:ascii="Symbol" w:hAnsi="Symbol" w:hint="default"/>
      </w:rPr>
    </w:lvl>
    <w:lvl w:ilvl="7" w:tplc="A672F470">
      <w:start w:val="1"/>
      <w:numFmt w:val="bullet"/>
      <w:lvlText w:val="o"/>
      <w:lvlJc w:val="left"/>
      <w:pPr>
        <w:ind w:left="5760" w:hanging="360"/>
      </w:pPr>
      <w:rPr>
        <w:rFonts w:ascii="Courier New" w:hAnsi="Courier New" w:hint="default"/>
      </w:rPr>
    </w:lvl>
    <w:lvl w:ilvl="8" w:tplc="FD0C80F8">
      <w:start w:val="1"/>
      <w:numFmt w:val="bullet"/>
      <w:lvlText w:val=""/>
      <w:lvlJc w:val="left"/>
      <w:pPr>
        <w:ind w:left="6480" w:hanging="360"/>
      </w:pPr>
      <w:rPr>
        <w:rFonts w:ascii="Wingdings" w:hAnsi="Wingdings" w:hint="default"/>
      </w:rPr>
    </w:lvl>
  </w:abstractNum>
  <w:abstractNum w:abstractNumId="4" w15:restartNumberingAfterBreak="0">
    <w:nsid w:val="2111515B"/>
    <w:multiLevelType w:val="multilevel"/>
    <w:tmpl w:val="AD900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BB5513"/>
    <w:multiLevelType w:val="hybridMultilevel"/>
    <w:tmpl w:val="E4DEA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A6304E5"/>
    <w:multiLevelType w:val="hybridMultilevel"/>
    <w:tmpl w:val="CEAAE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A45CB1"/>
    <w:multiLevelType w:val="hybridMultilevel"/>
    <w:tmpl w:val="7B46A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2670E18"/>
    <w:multiLevelType w:val="hybridMultilevel"/>
    <w:tmpl w:val="DFFA3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C77E00"/>
    <w:multiLevelType w:val="hybridMultilevel"/>
    <w:tmpl w:val="117AD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BF8904"/>
    <w:multiLevelType w:val="hybridMultilevel"/>
    <w:tmpl w:val="FFFFFFFF"/>
    <w:lvl w:ilvl="0" w:tplc="02605F68">
      <w:start w:val="1"/>
      <w:numFmt w:val="bullet"/>
      <w:lvlText w:val=""/>
      <w:lvlJc w:val="left"/>
      <w:pPr>
        <w:ind w:left="360" w:hanging="360"/>
      </w:pPr>
      <w:rPr>
        <w:rFonts w:ascii="Symbol" w:hAnsi="Symbol" w:hint="default"/>
      </w:rPr>
    </w:lvl>
    <w:lvl w:ilvl="1" w:tplc="7390B62A">
      <w:start w:val="1"/>
      <w:numFmt w:val="bullet"/>
      <w:lvlText w:val="o"/>
      <w:lvlJc w:val="left"/>
      <w:pPr>
        <w:ind w:left="1440" w:hanging="360"/>
      </w:pPr>
      <w:rPr>
        <w:rFonts w:ascii="Courier New" w:hAnsi="Courier New" w:hint="default"/>
      </w:rPr>
    </w:lvl>
    <w:lvl w:ilvl="2" w:tplc="1E8E88AC">
      <w:start w:val="1"/>
      <w:numFmt w:val="bullet"/>
      <w:lvlText w:val=""/>
      <w:lvlJc w:val="left"/>
      <w:pPr>
        <w:ind w:left="2160" w:hanging="360"/>
      </w:pPr>
      <w:rPr>
        <w:rFonts w:ascii="Wingdings" w:hAnsi="Wingdings" w:hint="default"/>
      </w:rPr>
    </w:lvl>
    <w:lvl w:ilvl="3" w:tplc="D5D2588E">
      <w:start w:val="1"/>
      <w:numFmt w:val="bullet"/>
      <w:lvlText w:val=""/>
      <w:lvlJc w:val="left"/>
      <w:pPr>
        <w:ind w:left="2880" w:hanging="360"/>
      </w:pPr>
      <w:rPr>
        <w:rFonts w:ascii="Symbol" w:hAnsi="Symbol" w:hint="default"/>
      </w:rPr>
    </w:lvl>
    <w:lvl w:ilvl="4" w:tplc="B0702FA4">
      <w:start w:val="1"/>
      <w:numFmt w:val="bullet"/>
      <w:lvlText w:val="o"/>
      <w:lvlJc w:val="left"/>
      <w:pPr>
        <w:ind w:left="3600" w:hanging="360"/>
      </w:pPr>
      <w:rPr>
        <w:rFonts w:ascii="Courier New" w:hAnsi="Courier New" w:hint="default"/>
      </w:rPr>
    </w:lvl>
    <w:lvl w:ilvl="5" w:tplc="1004CD44">
      <w:start w:val="1"/>
      <w:numFmt w:val="bullet"/>
      <w:lvlText w:val=""/>
      <w:lvlJc w:val="left"/>
      <w:pPr>
        <w:ind w:left="4320" w:hanging="360"/>
      </w:pPr>
      <w:rPr>
        <w:rFonts w:ascii="Wingdings" w:hAnsi="Wingdings" w:hint="default"/>
      </w:rPr>
    </w:lvl>
    <w:lvl w:ilvl="6" w:tplc="1EA8849C">
      <w:start w:val="1"/>
      <w:numFmt w:val="bullet"/>
      <w:lvlText w:val=""/>
      <w:lvlJc w:val="left"/>
      <w:pPr>
        <w:ind w:left="5040" w:hanging="360"/>
      </w:pPr>
      <w:rPr>
        <w:rFonts w:ascii="Symbol" w:hAnsi="Symbol" w:hint="default"/>
      </w:rPr>
    </w:lvl>
    <w:lvl w:ilvl="7" w:tplc="E26AB9EC">
      <w:start w:val="1"/>
      <w:numFmt w:val="bullet"/>
      <w:lvlText w:val="o"/>
      <w:lvlJc w:val="left"/>
      <w:pPr>
        <w:ind w:left="5760" w:hanging="360"/>
      </w:pPr>
      <w:rPr>
        <w:rFonts w:ascii="Courier New" w:hAnsi="Courier New" w:hint="default"/>
      </w:rPr>
    </w:lvl>
    <w:lvl w:ilvl="8" w:tplc="43D81088">
      <w:start w:val="1"/>
      <w:numFmt w:val="bullet"/>
      <w:lvlText w:val=""/>
      <w:lvlJc w:val="left"/>
      <w:pPr>
        <w:ind w:left="6480" w:hanging="360"/>
      </w:pPr>
      <w:rPr>
        <w:rFonts w:ascii="Wingdings" w:hAnsi="Wingdings" w:hint="default"/>
      </w:rPr>
    </w:lvl>
  </w:abstractNum>
  <w:abstractNum w:abstractNumId="11" w15:restartNumberingAfterBreak="0">
    <w:nsid w:val="65EC5910"/>
    <w:multiLevelType w:val="hybridMultilevel"/>
    <w:tmpl w:val="F364E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EA45F5"/>
    <w:multiLevelType w:val="hybridMultilevel"/>
    <w:tmpl w:val="039CCE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4D2B4D"/>
    <w:multiLevelType w:val="hybridMultilevel"/>
    <w:tmpl w:val="DCD0DA86"/>
    <w:lvl w:ilvl="0" w:tplc="08090001">
      <w:start w:val="1"/>
      <w:numFmt w:val="bullet"/>
      <w:lvlText w:val=""/>
      <w:lvlJc w:val="left"/>
      <w:pPr>
        <w:ind w:left="1590" w:hanging="360"/>
      </w:pPr>
      <w:rPr>
        <w:rFonts w:ascii="Symbol" w:hAnsi="Symbol" w:hint="default"/>
      </w:rPr>
    </w:lvl>
    <w:lvl w:ilvl="1" w:tplc="08090003">
      <w:start w:val="1"/>
      <w:numFmt w:val="bullet"/>
      <w:lvlText w:val="o"/>
      <w:lvlJc w:val="left"/>
      <w:pPr>
        <w:ind w:left="2310" w:hanging="360"/>
      </w:pPr>
      <w:rPr>
        <w:rFonts w:ascii="Courier New" w:hAnsi="Courier New" w:cs="Courier New" w:hint="default"/>
      </w:rPr>
    </w:lvl>
    <w:lvl w:ilvl="2" w:tplc="08090005">
      <w:start w:val="1"/>
      <w:numFmt w:val="bullet"/>
      <w:lvlText w:val=""/>
      <w:lvlJc w:val="left"/>
      <w:pPr>
        <w:ind w:left="3030" w:hanging="360"/>
      </w:pPr>
      <w:rPr>
        <w:rFonts w:ascii="Wingdings" w:hAnsi="Wingdings" w:hint="default"/>
      </w:rPr>
    </w:lvl>
    <w:lvl w:ilvl="3" w:tplc="08090001">
      <w:start w:val="1"/>
      <w:numFmt w:val="bullet"/>
      <w:lvlText w:val=""/>
      <w:lvlJc w:val="left"/>
      <w:pPr>
        <w:ind w:left="3750" w:hanging="360"/>
      </w:pPr>
      <w:rPr>
        <w:rFonts w:ascii="Symbol" w:hAnsi="Symbol" w:hint="default"/>
      </w:rPr>
    </w:lvl>
    <w:lvl w:ilvl="4" w:tplc="08090003">
      <w:start w:val="1"/>
      <w:numFmt w:val="bullet"/>
      <w:lvlText w:val="o"/>
      <w:lvlJc w:val="left"/>
      <w:pPr>
        <w:ind w:left="4470" w:hanging="360"/>
      </w:pPr>
      <w:rPr>
        <w:rFonts w:ascii="Courier New" w:hAnsi="Courier New" w:cs="Courier New" w:hint="default"/>
      </w:rPr>
    </w:lvl>
    <w:lvl w:ilvl="5" w:tplc="08090005">
      <w:start w:val="1"/>
      <w:numFmt w:val="bullet"/>
      <w:lvlText w:val=""/>
      <w:lvlJc w:val="left"/>
      <w:pPr>
        <w:ind w:left="5190" w:hanging="360"/>
      </w:pPr>
      <w:rPr>
        <w:rFonts w:ascii="Wingdings" w:hAnsi="Wingdings" w:hint="default"/>
      </w:rPr>
    </w:lvl>
    <w:lvl w:ilvl="6" w:tplc="08090001">
      <w:start w:val="1"/>
      <w:numFmt w:val="bullet"/>
      <w:lvlText w:val=""/>
      <w:lvlJc w:val="left"/>
      <w:pPr>
        <w:ind w:left="5910" w:hanging="360"/>
      </w:pPr>
      <w:rPr>
        <w:rFonts w:ascii="Symbol" w:hAnsi="Symbol" w:hint="default"/>
      </w:rPr>
    </w:lvl>
    <w:lvl w:ilvl="7" w:tplc="08090003">
      <w:start w:val="1"/>
      <w:numFmt w:val="bullet"/>
      <w:lvlText w:val="o"/>
      <w:lvlJc w:val="left"/>
      <w:pPr>
        <w:ind w:left="6630" w:hanging="360"/>
      </w:pPr>
      <w:rPr>
        <w:rFonts w:ascii="Courier New" w:hAnsi="Courier New" w:cs="Courier New" w:hint="default"/>
      </w:rPr>
    </w:lvl>
    <w:lvl w:ilvl="8" w:tplc="08090005">
      <w:start w:val="1"/>
      <w:numFmt w:val="bullet"/>
      <w:lvlText w:val=""/>
      <w:lvlJc w:val="left"/>
      <w:pPr>
        <w:ind w:left="7350" w:hanging="360"/>
      </w:pPr>
      <w:rPr>
        <w:rFonts w:ascii="Wingdings" w:hAnsi="Wingdings" w:hint="default"/>
      </w:rPr>
    </w:lvl>
  </w:abstractNum>
  <w:abstractNum w:abstractNumId="14" w15:restartNumberingAfterBreak="0">
    <w:nsid w:val="7AA84472"/>
    <w:multiLevelType w:val="multilevel"/>
    <w:tmpl w:val="165AF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ED42A4E"/>
    <w:multiLevelType w:val="hybridMultilevel"/>
    <w:tmpl w:val="FFFFFFFF"/>
    <w:lvl w:ilvl="0" w:tplc="EA28BCA4">
      <w:start w:val="8"/>
      <w:numFmt w:val="decimal"/>
      <w:lvlText w:val="%1."/>
      <w:lvlJc w:val="left"/>
      <w:pPr>
        <w:ind w:left="360" w:hanging="360"/>
      </w:pPr>
    </w:lvl>
    <w:lvl w:ilvl="1" w:tplc="783057B8">
      <w:start w:val="1"/>
      <w:numFmt w:val="lowerLetter"/>
      <w:lvlText w:val="%2."/>
      <w:lvlJc w:val="left"/>
      <w:pPr>
        <w:ind w:left="1440" w:hanging="360"/>
      </w:pPr>
    </w:lvl>
    <w:lvl w:ilvl="2" w:tplc="A1A48358">
      <w:start w:val="1"/>
      <w:numFmt w:val="lowerRoman"/>
      <w:lvlText w:val="%3."/>
      <w:lvlJc w:val="right"/>
      <w:pPr>
        <w:ind w:left="2160" w:hanging="180"/>
      </w:pPr>
    </w:lvl>
    <w:lvl w:ilvl="3" w:tplc="4EA0D6BE">
      <w:start w:val="1"/>
      <w:numFmt w:val="decimal"/>
      <w:lvlText w:val="%4."/>
      <w:lvlJc w:val="left"/>
      <w:pPr>
        <w:ind w:left="2880" w:hanging="360"/>
      </w:pPr>
    </w:lvl>
    <w:lvl w:ilvl="4" w:tplc="B120B652">
      <w:start w:val="1"/>
      <w:numFmt w:val="lowerLetter"/>
      <w:lvlText w:val="%5."/>
      <w:lvlJc w:val="left"/>
      <w:pPr>
        <w:ind w:left="3600" w:hanging="360"/>
      </w:pPr>
    </w:lvl>
    <w:lvl w:ilvl="5" w:tplc="D51416BE">
      <w:start w:val="1"/>
      <w:numFmt w:val="lowerRoman"/>
      <w:lvlText w:val="%6."/>
      <w:lvlJc w:val="right"/>
      <w:pPr>
        <w:ind w:left="4320" w:hanging="180"/>
      </w:pPr>
    </w:lvl>
    <w:lvl w:ilvl="6" w:tplc="F3A0D4F4">
      <w:start w:val="1"/>
      <w:numFmt w:val="decimal"/>
      <w:lvlText w:val="%7."/>
      <w:lvlJc w:val="left"/>
      <w:pPr>
        <w:ind w:left="5040" w:hanging="360"/>
      </w:pPr>
    </w:lvl>
    <w:lvl w:ilvl="7" w:tplc="3DA2E076">
      <w:start w:val="1"/>
      <w:numFmt w:val="lowerLetter"/>
      <w:lvlText w:val="%8."/>
      <w:lvlJc w:val="left"/>
      <w:pPr>
        <w:ind w:left="5760" w:hanging="360"/>
      </w:pPr>
    </w:lvl>
    <w:lvl w:ilvl="8" w:tplc="CFC8B8EC">
      <w:start w:val="1"/>
      <w:numFmt w:val="lowerRoman"/>
      <w:lvlText w:val="%9."/>
      <w:lvlJc w:val="right"/>
      <w:pPr>
        <w:ind w:left="6480" w:hanging="180"/>
      </w:pPr>
    </w:lvl>
  </w:abstractNum>
  <w:num w:numId="1">
    <w:abstractNumId w:val="0"/>
  </w:num>
  <w:num w:numId="2">
    <w:abstractNumId w:val="5"/>
  </w:num>
  <w:num w:numId="3">
    <w:abstractNumId w:val="9"/>
  </w:num>
  <w:num w:numId="4">
    <w:abstractNumId w:val="2"/>
  </w:num>
  <w:num w:numId="5">
    <w:abstractNumId w:val="8"/>
  </w:num>
  <w:num w:numId="6">
    <w:abstractNumId w:val="1"/>
  </w:num>
  <w:num w:numId="7">
    <w:abstractNumId w:val="6"/>
  </w:num>
  <w:num w:numId="8">
    <w:abstractNumId w:val="11"/>
  </w:num>
  <w:num w:numId="9">
    <w:abstractNumId w:val="12"/>
  </w:num>
  <w:num w:numId="10">
    <w:abstractNumId w:val="7"/>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3"/>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4"/>
  </w:num>
  <w:num w:numId="37">
    <w:abstractNumId w:val="14"/>
  </w:num>
  <w:num w:numId="38">
    <w:abstractNumId w:val="10"/>
  </w:num>
  <w:num w:numId="39">
    <w:abstractNumId w:val="3"/>
  </w:num>
  <w:num w:numId="40">
    <w:abstractNumId w:val="15"/>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763"/>
    <w:rsid w:val="000042C2"/>
    <w:rsid w:val="00004FA2"/>
    <w:rsid w:val="00007AF2"/>
    <w:rsid w:val="00015045"/>
    <w:rsid w:val="000162CB"/>
    <w:rsid w:val="00045A28"/>
    <w:rsid w:val="000624F6"/>
    <w:rsid w:val="00080978"/>
    <w:rsid w:val="000813B5"/>
    <w:rsid w:val="00097D6B"/>
    <w:rsid w:val="000A092A"/>
    <w:rsid w:val="000A6FD7"/>
    <w:rsid w:val="000C31B9"/>
    <w:rsid w:val="000E30DF"/>
    <w:rsid w:val="000F05B0"/>
    <w:rsid w:val="000F11E3"/>
    <w:rsid w:val="000F5377"/>
    <w:rsid w:val="0010368B"/>
    <w:rsid w:val="00111065"/>
    <w:rsid w:val="0011343A"/>
    <w:rsid w:val="00131B53"/>
    <w:rsid w:val="00132838"/>
    <w:rsid w:val="00145CBC"/>
    <w:rsid w:val="001511C6"/>
    <w:rsid w:val="0015237C"/>
    <w:rsid w:val="00153A2D"/>
    <w:rsid w:val="00155122"/>
    <w:rsid w:val="00157CED"/>
    <w:rsid w:val="0016243C"/>
    <w:rsid w:val="00172D62"/>
    <w:rsid w:val="00174591"/>
    <w:rsid w:val="0017702E"/>
    <w:rsid w:val="00180B21"/>
    <w:rsid w:val="00182FDF"/>
    <w:rsid w:val="00193354"/>
    <w:rsid w:val="0019627E"/>
    <w:rsid w:val="00196522"/>
    <w:rsid w:val="001A6047"/>
    <w:rsid w:val="001B0D2F"/>
    <w:rsid w:val="001B49FF"/>
    <w:rsid w:val="001B6758"/>
    <w:rsid w:val="001B7392"/>
    <w:rsid w:val="001C6436"/>
    <w:rsid w:val="001D28AA"/>
    <w:rsid w:val="001F1F48"/>
    <w:rsid w:val="001F4CEE"/>
    <w:rsid w:val="002153DD"/>
    <w:rsid w:val="002156F4"/>
    <w:rsid w:val="0022457D"/>
    <w:rsid w:val="00230C2E"/>
    <w:rsid w:val="00241EC5"/>
    <w:rsid w:val="00251FE3"/>
    <w:rsid w:val="0025377B"/>
    <w:rsid w:val="002578D1"/>
    <w:rsid w:val="002639A6"/>
    <w:rsid w:val="00263D5F"/>
    <w:rsid w:val="002765FF"/>
    <w:rsid w:val="00291ACF"/>
    <w:rsid w:val="002A3936"/>
    <w:rsid w:val="002A5EEF"/>
    <w:rsid w:val="002A6134"/>
    <w:rsid w:val="002B4664"/>
    <w:rsid w:val="002B5F30"/>
    <w:rsid w:val="002B7934"/>
    <w:rsid w:val="002C2DCD"/>
    <w:rsid w:val="002C69BE"/>
    <w:rsid w:val="002C7D6A"/>
    <w:rsid w:val="002D44AE"/>
    <w:rsid w:val="002D6F60"/>
    <w:rsid w:val="002E3058"/>
    <w:rsid w:val="002E5F0D"/>
    <w:rsid w:val="002F4D54"/>
    <w:rsid w:val="002F5D39"/>
    <w:rsid w:val="00317E1F"/>
    <w:rsid w:val="00331251"/>
    <w:rsid w:val="00344DC1"/>
    <w:rsid w:val="00346AD5"/>
    <w:rsid w:val="00354A61"/>
    <w:rsid w:val="00362115"/>
    <w:rsid w:val="00367DC4"/>
    <w:rsid w:val="00380167"/>
    <w:rsid w:val="00380E25"/>
    <w:rsid w:val="00381A7F"/>
    <w:rsid w:val="00396A2D"/>
    <w:rsid w:val="003A1FC1"/>
    <w:rsid w:val="003B14B5"/>
    <w:rsid w:val="003B28E4"/>
    <w:rsid w:val="003B31E0"/>
    <w:rsid w:val="003B487A"/>
    <w:rsid w:val="003B5642"/>
    <w:rsid w:val="003B6CB4"/>
    <w:rsid w:val="003C0D4E"/>
    <w:rsid w:val="003C52E8"/>
    <w:rsid w:val="003F0839"/>
    <w:rsid w:val="00401AA5"/>
    <w:rsid w:val="004044B8"/>
    <w:rsid w:val="004065AF"/>
    <w:rsid w:val="0041788B"/>
    <w:rsid w:val="00421EAE"/>
    <w:rsid w:val="00431572"/>
    <w:rsid w:val="00434368"/>
    <w:rsid w:val="0043548D"/>
    <w:rsid w:val="00442103"/>
    <w:rsid w:val="00474A3A"/>
    <w:rsid w:val="00482DB3"/>
    <w:rsid w:val="00492733"/>
    <w:rsid w:val="004927C1"/>
    <w:rsid w:val="004A3A2B"/>
    <w:rsid w:val="004A6457"/>
    <w:rsid w:val="004A7BEF"/>
    <w:rsid w:val="004B111E"/>
    <w:rsid w:val="004D1F38"/>
    <w:rsid w:val="004E7C8F"/>
    <w:rsid w:val="004F4E28"/>
    <w:rsid w:val="005055DE"/>
    <w:rsid w:val="0051423C"/>
    <w:rsid w:val="00514B3B"/>
    <w:rsid w:val="00534730"/>
    <w:rsid w:val="00547AF8"/>
    <w:rsid w:val="0055248E"/>
    <w:rsid w:val="0055648B"/>
    <w:rsid w:val="00572134"/>
    <w:rsid w:val="00585CDD"/>
    <w:rsid w:val="005934C4"/>
    <w:rsid w:val="005B1842"/>
    <w:rsid w:val="005C1896"/>
    <w:rsid w:val="005C37E7"/>
    <w:rsid w:val="005C5556"/>
    <w:rsid w:val="005C6DC5"/>
    <w:rsid w:val="005E05F9"/>
    <w:rsid w:val="005F09A5"/>
    <w:rsid w:val="006015AB"/>
    <w:rsid w:val="00616439"/>
    <w:rsid w:val="00620019"/>
    <w:rsid w:val="00625809"/>
    <w:rsid w:val="00630C26"/>
    <w:rsid w:val="0063644B"/>
    <w:rsid w:val="00636729"/>
    <w:rsid w:val="006456A7"/>
    <w:rsid w:val="00646E07"/>
    <w:rsid w:val="00654F94"/>
    <w:rsid w:val="00674017"/>
    <w:rsid w:val="0068293C"/>
    <w:rsid w:val="0068758C"/>
    <w:rsid w:val="006908D0"/>
    <w:rsid w:val="00690E82"/>
    <w:rsid w:val="006A59CA"/>
    <w:rsid w:val="006A70A6"/>
    <w:rsid w:val="006B598A"/>
    <w:rsid w:val="006C7052"/>
    <w:rsid w:val="006D245B"/>
    <w:rsid w:val="006F3564"/>
    <w:rsid w:val="006F41C7"/>
    <w:rsid w:val="0070584F"/>
    <w:rsid w:val="0070622F"/>
    <w:rsid w:val="00711556"/>
    <w:rsid w:val="00711B0E"/>
    <w:rsid w:val="00727F81"/>
    <w:rsid w:val="00731003"/>
    <w:rsid w:val="007314DA"/>
    <w:rsid w:val="007330ED"/>
    <w:rsid w:val="00735765"/>
    <w:rsid w:val="00735931"/>
    <w:rsid w:val="0075132C"/>
    <w:rsid w:val="00752E1C"/>
    <w:rsid w:val="00756C92"/>
    <w:rsid w:val="00785E0C"/>
    <w:rsid w:val="007A418F"/>
    <w:rsid w:val="007C0F25"/>
    <w:rsid w:val="007D0C8B"/>
    <w:rsid w:val="007D3C74"/>
    <w:rsid w:val="007D697C"/>
    <w:rsid w:val="007E68BD"/>
    <w:rsid w:val="007F29C8"/>
    <w:rsid w:val="007F2EA6"/>
    <w:rsid w:val="007F4087"/>
    <w:rsid w:val="00806D92"/>
    <w:rsid w:val="008118FD"/>
    <w:rsid w:val="008166D6"/>
    <w:rsid w:val="0082546F"/>
    <w:rsid w:val="008260BD"/>
    <w:rsid w:val="008442DF"/>
    <w:rsid w:val="00846355"/>
    <w:rsid w:val="008526D5"/>
    <w:rsid w:val="00853A36"/>
    <w:rsid w:val="00872D5E"/>
    <w:rsid w:val="0087311B"/>
    <w:rsid w:val="008854BF"/>
    <w:rsid w:val="00892CE5"/>
    <w:rsid w:val="00892FE1"/>
    <w:rsid w:val="008A6118"/>
    <w:rsid w:val="008A7080"/>
    <w:rsid w:val="008B701F"/>
    <w:rsid w:val="008E0A8B"/>
    <w:rsid w:val="008E54BA"/>
    <w:rsid w:val="008F3B2C"/>
    <w:rsid w:val="00902B92"/>
    <w:rsid w:val="0091421E"/>
    <w:rsid w:val="00916746"/>
    <w:rsid w:val="00921DEC"/>
    <w:rsid w:val="009414D8"/>
    <w:rsid w:val="0094306E"/>
    <w:rsid w:val="00961B91"/>
    <w:rsid w:val="0096493F"/>
    <w:rsid w:val="009702E3"/>
    <w:rsid w:val="009772C3"/>
    <w:rsid w:val="00987761"/>
    <w:rsid w:val="009A5A59"/>
    <w:rsid w:val="009B09ED"/>
    <w:rsid w:val="009B777C"/>
    <w:rsid w:val="009D1659"/>
    <w:rsid w:val="009D1AA9"/>
    <w:rsid w:val="009D2971"/>
    <w:rsid w:val="009D4E43"/>
    <w:rsid w:val="009E620F"/>
    <w:rsid w:val="009F013D"/>
    <w:rsid w:val="009F21EC"/>
    <w:rsid w:val="009F4276"/>
    <w:rsid w:val="00A11A9F"/>
    <w:rsid w:val="00A24DF2"/>
    <w:rsid w:val="00A37D72"/>
    <w:rsid w:val="00A4018D"/>
    <w:rsid w:val="00A42652"/>
    <w:rsid w:val="00A47763"/>
    <w:rsid w:val="00A5208D"/>
    <w:rsid w:val="00A560F1"/>
    <w:rsid w:val="00A65FF4"/>
    <w:rsid w:val="00A72995"/>
    <w:rsid w:val="00A73D41"/>
    <w:rsid w:val="00A769AE"/>
    <w:rsid w:val="00A93918"/>
    <w:rsid w:val="00AA20E9"/>
    <w:rsid w:val="00AA6C29"/>
    <w:rsid w:val="00AC0205"/>
    <w:rsid w:val="00AC0AFB"/>
    <w:rsid w:val="00AD0E0F"/>
    <w:rsid w:val="00AE7E03"/>
    <w:rsid w:val="00AF48AB"/>
    <w:rsid w:val="00B033E7"/>
    <w:rsid w:val="00B0797F"/>
    <w:rsid w:val="00B41E94"/>
    <w:rsid w:val="00B45985"/>
    <w:rsid w:val="00B46ADE"/>
    <w:rsid w:val="00B51225"/>
    <w:rsid w:val="00B57D5F"/>
    <w:rsid w:val="00B668BE"/>
    <w:rsid w:val="00B80030"/>
    <w:rsid w:val="00B84662"/>
    <w:rsid w:val="00B949FA"/>
    <w:rsid w:val="00BA0DD3"/>
    <w:rsid w:val="00BB4AEC"/>
    <w:rsid w:val="00BD0932"/>
    <w:rsid w:val="00BD556F"/>
    <w:rsid w:val="00BD62FE"/>
    <w:rsid w:val="00BD6963"/>
    <w:rsid w:val="00BE7B6F"/>
    <w:rsid w:val="00C0078D"/>
    <w:rsid w:val="00C0117B"/>
    <w:rsid w:val="00C14A38"/>
    <w:rsid w:val="00C1589E"/>
    <w:rsid w:val="00C17A43"/>
    <w:rsid w:val="00C17FD3"/>
    <w:rsid w:val="00C36069"/>
    <w:rsid w:val="00C37919"/>
    <w:rsid w:val="00C43A41"/>
    <w:rsid w:val="00C443E3"/>
    <w:rsid w:val="00C4488A"/>
    <w:rsid w:val="00C61447"/>
    <w:rsid w:val="00C62674"/>
    <w:rsid w:val="00C743B7"/>
    <w:rsid w:val="00C76F6D"/>
    <w:rsid w:val="00C77686"/>
    <w:rsid w:val="00C81B3E"/>
    <w:rsid w:val="00C853EC"/>
    <w:rsid w:val="00CB25FF"/>
    <w:rsid w:val="00CB3342"/>
    <w:rsid w:val="00CB76A9"/>
    <w:rsid w:val="00CD680F"/>
    <w:rsid w:val="00CD71CE"/>
    <w:rsid w:val="00CF1D05"/>
    <w:rsid w:val="00CF4D8D"/>
    <w:rsid w:val="00D043C5"/>
    <w:rsid w:val="00D14A4A"/>
    <w:rsid w:val="00D16C38"/>
    <w:rsid w:val="00D31D42"/>
    <w:rsid w:val="00D34EF6"/>
    <w:rsid w:val="00D36197"/>
    <w:rsid w:val="00D455A2"/>
    <w:rsid w:val="00D46A93"/>
    <w:rsid w:val="00D54955"/>
    <w:rsid w:val="00D76B3D"/>
    <w:rsid w:val="00D82568"/>
    <w:rsid w:val="00D842C8"/>
    <w:rsid w:val="00D87052"/>
    <w:rsid w:val="00D8744B"/>
    <w:rsid w:val="00D92231"/>
    <w:rsid w:val="00D9318E"/>
    <w:rsid w:val="00D952C2"/>
    <w:rsid w:val="00DA5D26"/>
    <w:rsid w:val="00DA6A8A"/>
    <w:rsid w:val="00DB6FB4"/>
    <w:rsid w:val="00DC1829"/>
    <w:rsid w:val="00DC5CB4"/>
    <w:rsid w:val="00DC7892"/>
    <w:rsid w:val="00DD53EE"/>
    <w:rsid w:val="00DE14DD"/>
    <w:rsid w:val="00DE2E5F"/>
    <w:rsid w:val="00E0320B"/>
    <w:rsid w:val="00E129F8"/>
    <w:rsid w:val="00E24AAF"/>
    <w:rsid w:val="00E348A0"/>
    <w:rsid w:val="00E36FD3"/>
    <w:rsid w:val="00E37BCA"/>
    <w:rsid w:val="00E523B4"/>
    <w:rsid w:val="00E75AB1"/>
    <w:rsid w:val="00E75E75"/>
    <w:rsid w:val="00E879A1"/>
    <w:rsid w:val="00EA1C96"/>
    <w:rsid w:val="00EA65D8"/>
    <w:rsid w:val="00EA6730"/>
    <w:rsid w:val="00EB32C8"/>
    <w:rsid w:val="00EB6D2D"/>
    <w:rsid w:val="00ED1591"/>
    <w:rsid w:val="00ED1AFA"/>
    <w:rsid w:val="00EE0EEB"/>
    <w:rsid w:val="00F002EA"/>
    <w:rsid w:val="00F023FE"/>
    <w:rsid w:val="00F046F2"/>
    <w:rsid w:val="00F126A1"/>
    <w:rsid w:val="00F15C39"/>
    <w:rsid w:val="00F3128D"/>
    <w:rsid w:val="00F32BE9"/>
    <w:rsid w:val="00F33317"/>
    <w:rsid w:val="00F344D0"/>
    <w:rsid w:val="00F50BB3"/>
    <w:rsid w:val="00F5270C"/>
    <w:rsid w:val="00F60E66"/>
    <w:rsid w:val="00F76C78"/>
    <w:rsid w:val="00F85A09"/>
    <w:rsid w:val="00F92681"/>
    <w:rsid w:val="00F93921"/>
    <w:rsid w:val="00FB40AA"/>
    <w:rsid w:val="00FB44D7"/>
    <w:rsid w:val="00FC1999"/>
    <w:rsid w:val="00FD381D"/>
    <w:rsid w:val="00FD6662"/>
    <w:rsid w:val="00FE74C1"/>
    <w:rsid w:val="012293FB"/>
    <w:rsid w:val="0175564C"/>
    <w:rsid w:val="01FCFBC0"/>
    <w:rsid w:val="0260043B"/>
    <w:rsid w:val="0358AD78"/>
    <w:rsid w:val="0362CFDB"/>
    <w:rsid w:val="0367FEFF"/>
    <w:rsid w:val="0398CC21"/>
    <w:rsid w:val="039CBA9B"/>
    <w:rsid w:val="03FCACE9"/>
    <w:rsid w:val="0422C592"/>
    <w:rsid w:val="04325277"/>
    <w:rsid w:val="044D0708"/>
    <w:rsid w:val="057B89DC"/>
    <w:rsid w:val="061807BA"/>
    <w:rsid w:val="06841E4C"/>
    <w:rsid w:val="06DB48A5"/>
    <w:rsid w:val="06E3AFE9"/>
    <w:rsid w:val="0848057A"/>
    <w:rsid w:val="08F636B5"/>
    <w:rsid w:val="0900DFB4"/>
    <w:rsid w:val="0937DEF8"/>
    <w:rsid w:val="0AB6E433"/>
    <w:rsid w:val="0B6C6EDB"/>
    <w:rsid w:val="0C2929A8"/>
    <w:rsid w:val="0C88D8DF"/>
    <w:rsid w:val="0D19B1E5"/>
    <w:rsid w:val="0D4953B3"/>
    <w:rsid w:val="0E5C42CC"/>
    <w:rsid w:val="0EEA8308"/>
    <w:rsid w:val="0F23F2D7"/>
    <w:rsid w:val="0F82274F"/>
    <w:rsid w:val="0FBE97BC"/>
    <w:rsid w:val="0FD5D8F3"/>
    <w:rsid w:val="101134C2"/>
    <w:rsid w:val="101D696E"/>
    <w:rsid w:val="10DC48B6"/>
    <w:rsid w:val="11819E3A"/>
    <w:rsid w:val="122D8354"/>
    <w:rsid w:val="125162B6"/>
    <w:rsid w:val="12E5AFAE"/>
    <w:rsid w:val="138E3302"/>
    <w:rsid w:val="13C9D736"/>
    <w:rsid w:val="13CB7238"/>
    <w:rsid w:val="1482D87A"/>
    <w:rsid w:val="151C9962"/>
    <w:rsid w:val="152E82CF"/>
    <w:rsid w:val="1552ADD2"/>
    <w:rsid w:val="15A07740"/>
    <w:rsid w:val="15EFA248"/>
    <w:rsid w:val="16907979"/>
    <w:rsid w:val="16CA5330"/>
    <w:rsid w:val="177CA333"/>
    <w:rsid w:val="17E15DDB"/>
    <w:rsid w:val="18672726"/>
    <w:rsid w:val="187736E4"/>
    <w:rsid w:val="1882BA27"/>
    <w:rsid w:val="194FE5ED"/>
    <w:rsid w:val="1979BC99"/>
    <w:rsid w:val="19EBA0DF"/>
    <w:rsid w:val="1AE5B7E0"/>
    <w:rsid w:val="1AE96EDE"/>
    <w:rsid w:val="1AEBB7C5"/>
    <w:rsid w:val="1AFCDA22"/>
    <w:rsid w:val="1B1D12D5"/>
    <w:rsid w:val="1B2F218F"/>
    <w:rsid w:val="1B583CA2"/>
    <w:rsid w:val="1B5ABC3F"/>
    <w:rsid w:val="1B8D371F"/>
    <w:rsid w:val="1C00D2F0"/>
    <w:rsid w:val="1CAC1B44"/>
    <w:rsid w:val="1DA8C753"/>
    <w:rsid w:val="1E14EC41"/>
    <w:rsid w:val="1ECD6D99"/>
    <w:rsid w:val="1EFD1E71"/>
    <w:rsid w:val="1F135BB9"/>
    <w:rsid w:val="1FD0E938"/>
    <w:rsid w:val="20D719C9"/>
    <w:rsid w:val="21DEBDBA"/>
    <w:rsid w:val="21E35046"/>
    <w:rsid w:val="22FA33C6"/>
    <w:rsid w:val="23BB37B4"/>
    <w:rsid w:val="23FEE07A"/>
    <w:rsid w:val="243768F1"/>
    <w:rsid w:val="244DC141"/>
    <w:rsid w:val="246F5378"/>
    <w:rsid w:val="247BEC7E"/>
    <w:rsid w:val="24921192"/>
    <w:rsid w:val="24F48334"/>
    <w:rsid w:val="25F8906C"/>
    <w:rsid w:val="271CE6A0"/>
    <w:rsid w:val="2766BC5D"/>
    <w:rsid w:val="29221FEE"/>
    <w:rsid w:val="295ACED7"/>
    <w:rsid w:val="2987DB3B"/>
    <w:rsid w:val="2A375C80"/>
    <w:rsid w:val="2ACC1740"/>
    <w:rsid w:val="2AEE5EB2"/>
    <w:rsid w:val="2E41FA86"/>
    <w:rsid w:val="2E479ABA"/>
    <w:rsid w:val="2ECA257B"/>
    <w:rsid w:val="315166A2"/>
    <w:rsid w:val="321BE136"/>
    <w:rsid w:val="322CA3E9"/>
    <w:rsid w:val="32B81629"/>
    <w:rsid w:val="32ED3703"/>
    <w:rsid w:val="33AA47DF"/>
    <w:rsid w:val="34611CEB"/>
    <w:rsid w:val="34E5E77C"/>
    <w:rsid w:val="34F90490"/>
    <w:rsid w:val="35176B9B"/>
    <w:rsid w:val="35A3982E"/>
    <w:rsid w:val="360E4180"/>
    <w:rsid w:val="37CF86FA"/>
    <w:rsid w:val="37FE81EB"/>
    <w:rsid w:val="3801DF36"/>
    <w:rsid w:val="3A3F437B"/>
    <w:rsid w:val="3A6B4CE2"/>
    <w:rsid w:val="3A96185D"/>
    <w:rsid w:val="3B1FAF5D"/>
    <w:rsid w:val="3BDB90F7"/>
    <w:rsid w:val="3CB3CD6B"/>
    <w:rsid w:val="3CD6CE5D"/>
    <w:rsid w:val="3D041378"/>
    <w:rsid w:val="3D4A1345"/>
    <w:rsid w:val="3E468868"/>
    <w:rsid w:val="3ECB94AF"/>
    <w:rsid w:val="3F1F92DF"/>
    <w:rsid w:val="3FF1C721"/>
    <w:rsid w:val="40198474"/>
    <w:rsid w:val="403D4EF7"/>
    <w:rsid w:val="40A7BB76"/>
    <w:rsid w:val="40DFB9C8"/>
    <w:rsid w:val="41421174"/>
    <w:rsid w:val="41E3DFB1"/>
    <w:rsid w:val="446245A0"/>
    <w:rsid w:val="447FDA65"/>
    <w:rsid w:val="44ADCA7A"/>
    <w:rsid w:val="45609F99"/>
    <w:rsid w:val="45A47EEA"/>
    <w:rsid w:val="45E794C7"/>
    <w:rsid w:val="46466DFA"/>
    <w:rsid w:val="46AD714D"/>
    <w:rsid w:val="47CA58A0"/>
    <w:rsid w:val="483C8FC6"/>
    <w:rsid w:val="48575557"/>
    <w:rsid w:val="49BF9309"/>
    <w:rsid w:val="4A55E7B0"/>
    <w:rsid w:val="4B39BF8B"/>
    <w:rsid w:val="4BFA9811"/>
    <w:rsid w:val="4D0615C1"/>
    <w:rsid w:val="4D289C20"/>
    <w:rsid w:val="4D966872"/>
    <w:rsid w:val="4DC117C4"/>
    <w:rsid w:val="4E4F7866"/>
    <w:rsid w:val="4E6DF622"/>
    <w:rsid w:val="4E70B597"/>
    <w:rsid w:val="4F7EC39D"/>
    <w:rsid w:val="4FE6DC9D"/>
    <w:rsid w:val="505CC9FE"/>
    <w:rsid w:val="50D67F4C"/>
    <w:rsid w:val="50FB8A61"/>
    <w:rsid w:val="5143AF55"/>
    <w:rsid w:val="51A66EC0"/>
    <w:rsid w:val="529078A7"/>
    <w:rsid w:val="5348EE85"/>
    <w:rsid w:val="54094485"/>
    <w:rsid w:val="5523D3F4"/>
    <w:rsid w:val="55952463"/>
    <w:rsid w:val="5652D9FC"/>
    <w:rsid w:val="584696E2"/>
    <w:rsid w:val="58D7DB47"/>
    <w:rsid w:val="596D139B"/>
    <w:rsid w:val="59DFFBEA"/>
    <w:rsid w:val="5A195C34"/>
    <w:rsid w:val="5A5183B6"/>
    <w:rsid w:val="5D093CD4"/>
    <w:rsid w:val="5DB479C2"/>
    <w:rsid w:val="5DBD1A87"/>
    <w:rsid w:val="5DE9AA01"/>
    <w:rsid w:val="5E140D52"/>
    <w:rsid w:val="5F30C9F4"/>
    <w:rsid w:val="5F70B851"/>
    <w:rsid w:val="5F9E524C"/>
    <w:rsid w:val="5FC32CC2"/>
    <w:rsid w:val="607DE41A"/>
    <w:rsid w:val="6099CBE7"/>
    <w:rsid w:val="6108ABA7"/>
    <w:rsid w:val="614A2BDF"/>
    <w:rsid w:val="6170E152"/>
    <w:rsid w:val="61A02155"/>
    <w:rsid w:val="620D400B"/>
    <w:rsid w:val="6232A8CC"/>
    <w:rsid w:val="625093D5"/>
    <w:rsid w:val="629D82F2"/>
    <w:rsid w:val="629EC321"/>
    <w:rsid w:val="62F671FD"/>
    <w:rsid w:val="62F86C23"/>
    <w:rsid w:val="6321A6CF"/>
    <w:rsid w:val="6423BB46"/>
    <w:rsid w:val="65BDB4BF"/>
    <w:rsid w:val="66150DAB"/>
    <w:rsid w:val="66CE0358"/>
    <w:rsid w:val="66E07777"/>
    <w:rsid w:val="66F3FB61"/>
    <w:rsid w:val="6705FFAB"/>
    <w:rsid w:val="673A7585"/>
    <w:rsid w:val="678A2EDB"/>
    <w:rsid w:val="67EE7CA2"/>
    <w:rsid w:val="685DDDF7"/>
    <w:rsid w:val="6939BEFD"/>
    <w:rsid w:val="6AC4171D"/>
    <w:rsid w:val="6AD1EA4D"/>
    <w:rsid w:val="6B01741B"/>
    <w:rsid w:val="6BA83932"/>
    <w:rsid w:val="6BD0FBEC"/>
    <w:rsid w:val="6BDB4FFB"/>
    <w:rsid w:val="6CED327E"/>
    <w:rsid w:val="6DF5CE2B"/>
    <w:rsid w:val="6E2F8832"/>
    <w:rsid w:val="6E389981"/>
    <w:rsid w:val="6E8B9BCC"/>
    <w:rsid w:val="703E9315"/>
    <w:rsid w:val="706D9EF3"/>
    <w:rsid w:val="70CD137F"/>
    <w:rsid w:val="7107F534"/>
    <w:rsid w:val="7116BA9B"/>
    <w:rsid w:val="71BE5F64"/>
    <w:rsid w:val="725E1E30"/>
    <w:rsid w:val="74BA4002"/>
    <w:rsid w:val="74F7C5A3"/>
    <w:rsid w:val="7530A17B"/>
    <w:rsid w:val="7539EFBB"/>
    <w:rsid w:val="75487A01"/>
    <w:rsid w:val="75488B1B"/>
    <w:rsid w:val="76456198"/>
    <w:rsid w:val="776DF767"/>
    <w:rsid w:val="77BC6CF1"/>
    <w:rsid w:val="7ACCF5DC"/>
    <w:rsid w:val="7AFAF0DD"/>
    <w:rsid w:val="7C848EFB"/>
    <w:rsid w:val="7E40775B"/>
    <w:rsid w:val="7E7E26CF"/>
    <w:rsid w:val="7FCDC69F"/>
    <w:rsid w:val="7FD9A55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767AD"/>
  <w15:chartTrackingRefBased/>
  <w15:docId w15:val="{B9658AFC-FE1F-4335-B6A0-E72A8F504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47763"/>
    <w:pPr>
      <w:spacing w:after="0" w:line="240" w:lineRule="auto"/>
    </w:pPr>
    <w:rPr>
      <w:rFonts w:ascii="Calibri" w:hAnsi="Calibri" w:cs="Calibri"/>
      <w:lang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47763"/>
    <w:pPr>
      <w:tabs>
        <w:tab w:val="center" w:pos="4513"/>
        <w:tab w:val="right" w:pos="9026"/>
      </w:tabs>
    </w:pPr>
  </w:style>
  <w:style w:type="character" w:customStyle="1" w:styleId="NagwekZnak">
    <w:name w:val="Nagłówek Znak"/>
    <w:basedOn w:val="Domylnaczcionkaakapitu"/>
    <w:link w:val="Nagwek"/>
    <w:uiPriority w:val="99"/>
    <w:rsid w:val="00A47763"/>
    <w:rPr>
      <w:rFonts w:ascii="Calibri" w:hAnsi="Calibri" w:cs="Calibri"/>
      <w:lang w:eastAsia="en-GB"/>
    </w:rPr>
  </w:style>
  <w:style w:type="paragraph" w:styleId="Akapitzlist">
    <w:name w:val="List Paragraph"/>
    <w:basedOn w:val="Normalny"/>
    <w:uiPriority w:val="34"/>
    <w:qFormat/>
    <w:rsid w:val="00A47763"/>
    <w:pPr>
      <w:ind w:left="720"/>
      <w:contextualSpacing/>
    </w:pPr>
  </w:style>
  <w:style w:type="paragraph" w:customStyle="1" w:styleId="paragraph">
    <w:name w:val="paragraph"/>
    <w:basedOn w:val="Normalny"/>
    <w:rsid w:val="00A47763"/>
    <w:pPr>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normaltextrun">
    <w:name w:val="normaltextrun"/>
    <w:rsid w:val="00A47763"/>
  </w:style>
  <w:style w:type="character" w:styleId="Hipercze">
    <w:name w:val="Hyperlink"/>
    <w:basedOn w:val="Domylnaczcionkaakapitu"/>
    <w:uiPriority w:val="99"/>
    <w:unhideWhenUsed/>
    <w:rsid w:val="00A47763"/>
    <w:rPr>
      <w:color w:val="0563C1" w:themeColor="hyperlink"/>
      <w:u w:val="single"/>
    </w:rPr>
  </w:style>
  <w:style w:type="paragraph" w:customStyle="1" w:styleId="Bullet">
    <w:name w:val="Bullet"/>
    <w:basedOn w:val="Tekstpodstawowy"/>
    <w:link w:val="BulletChar"/>
    <w:uiPriority w:val="3"/>
    <w:qFormat/>
    <w:rsid w:val="00A47763"/>
    <w:pPr>
      <w:numPr>
        <w:numId w:val="1"/>
      </w:numPr>
      <w:spacing w:after="227" w:line="240" w:lineRule="exact"/>
    </w:pPr>
    <w:rPr>
      <w:rFonts w:ascii="Arial" w:hAnsi="Arial"/>
      <w:color w:val="4472C4" w:themeColor="accent1"/>
      <w:sz w:val="18"/>
      <w:szCs w:val="20"/>
      <w:lang w:val="en-US"/>
    </w:rPr>
  </w:style>
  <w:style w:type="character" w:customStyle="1" w:styleId="BulletChar">
    <w:name w:val="Bullet Char"/>
    <w:basedOn w:val="TekstpodstawowyZnak"/>
    <w:link w:val="Bullet"/>
    <w:uiPriority w:val="3"/>
    <w:rsid w:val="00A47763"/>
    <w:rPr>
      <w:rFonts w:ascii="Arial" w:hAnsi="Arial" w:cs="Calibri"/>
      <w:color w:val="4472C4" w:themeColor="accent1"/>
      <w:sz w:val="18"/>
      <w:szCs w:val="20"/>
      <w:lang w:val="en-US" w:eastAsia="en-GB"/>
    </w:rPr>
  </w:style>
  <w:style w:type="paragraph" w:styleId="Tekstpodstawowy">
    <w:name w:val="Body Text"/>
    <w:basedOn w:val="Normalny"/>
    <w:link w:val="TekstpodstawowyZnak"/>
    <w:uiPriority w:val="99"/>
    <w:semiHidden/>
    <w:unhideWhenUsed/>
    <w:rsid w:val="00A47763"/>
    <w:pPr>
      <w:spacing w:after="120"/>
    </w:pPr>
  </w:style>
  <w:style w:type="character" w:customStyle="1" w:styleId="TekstpodstawowyZnak">
    <w:name w:val="Tekst podstawowy Znak"/>
    <w:basedOn w:val="Domylnaczcionkaakapitu"/>
    <w:link w:val="Tekstpodstawowy"/>
    <w:uiPriority w:val="99"/>
    <w:semiHidden/>
    <w:rsid w:val="00A47763"/>
    <w:rPr>
      <w:rFonts w:ascii="Calibri" w:hAnsi="Calibri" w:cs="Calibri"/>
      <w:lang w:eastAsia="en-GB"/>
    </w:rPr>
  </w:style>
  <w:style w:type="character" w:customStyle="1" w:styleId="eop">
    <w:name w:val="eop"/>
    <w:basedOn w:val="Domylnaczcionkaakapitu"/>
    <w:rsid w:val="00DC7892"/>
  </w:style>
  <w:style w:type="paragraph" w:styleId="Stopka">
    <w:name w:val="footer"/>
    <w:basedOn w:val="Normalny"/>
    <w:link w:val="StopkaZnak"/>
    <w:uiPriority w:val="99"/>
    <w:unhideWhenUsed/>
    <w:rsid w:val="0087311B"/>
    <w:pPr>
      <w:tabs>
        <w:tab w:val="center" w:pos="4680"/>
        <w:tab w:val="right" w:pos="9360"/>
      </w:tabs>
    </w:pPr>
  </w:style>
  <w:style w:type="character" w:customStyle="1" w:styleId="StopkaZnak">
    <w:name w:val="Stopka Znak"/>
    <w:basedOn w:val="Domylnaczcionkaakapitu"/>
    <w:link w:val="Stopka"/>
    <w:uiPriority w:val="99"/>
    <w:rsid w:val="0087311B"/>
    <w:rPr>
      <w:rFonts w:ascii="Calibri" w:hAnsi="Calibri" w:cs="Calibri"/>
      <w:lang w:eastAsia="en-GB"/>
    </w:rPr>
  </w:style>
  <w:style w:type="paragraph" w:styleId="Poprawka">
    <w:name w:val="Revision"/>
    <w:hidden/>
    <w:uiPriority w:val="99"/>
    <w:semiHidden/>
    <w:rsid w:val="007F4087"/>
    <w:pPr>
      <w:spacing w:after="0" w:line="240" w:lineRule="auto"/>
    </w:pPr>
    <w:rPr>
      <w:rFonts w:ascii="Calibri" w:hAnsi="Calibri" w:cs="Calibri"/>
      <w:lang w:eastAsia="en-GB"/>
    </w:rPr>
  </w:style>
  <w:style w:type="character" w:styleId="Odwoaniedokomentarza">
    <w:name w:val="annotation reference"/>
    <w:basedOn w:val="Domylnaczcionkaakapitu"/>
    <w:uiPriority w:val="99"/>
    <w:semiHidden/>
    <w:unhideWhenUsed/>
    <w:rsid w:val="007F4087"/>
    <w:rPr>
      <w:sz w:val="16"/>
      <w:szCs w:val="16"/>
    </w:rPr>
  </w:style>
  <w:style w:type="paragraph" w:styleId="Tekstkomentarza">
    <w:name w:val="annotation text"/>
    <w:basedOn w:val="Normalny"/>
    <w:link w:val="TekstkomentarzaZnak"/>
    <w:uiPriority w:val="99"/>
    <w:unhideWhenUsed/>
    <w:rsid w:val="007F4087"/>
    <w:rPr>
      <w:sz w:val="20"/>
      <w:szCs w:val="20"/>
    </w:rPr>
  </w:style>
  <w:style w:type="character" w:customStyle="1" w:styleId="TekstkomentarzaZnak">
    <w:name w:val="Tekst komentarza Znak"/>
    <w:basedOn w:val="Domylnaczcionkaakapitu"/>
    <w:link w:val="Tekstkomentarza"/>
    <w:uiPriority w:val="99"/>
    <w:rsid w:val="007F4087"/>
    <w:rPr>
      <w:rFonts w:ascii="Calibri" w:hAnsi="Calibri" w:cs="Calibri"/>
      <w:sz w:val="20"/>
      <w:szCs w:val="20"/>
      <w:lang w:eastAsia="en-GB"/>
    </w:rPr>
  </w:style>
  <w:style w:type="paragraph" w:styleId="Tematkomentarza">
    <w:name w:val="annotation subject"/>
    <w:basedOn w:val="Tekstkomentarza"/>
    <w:next w:val="Tekstkomentarza"/>
    <w:link w:val="TematkomentarzaZnak"/>
    <w:uiPriority w:val="99"/>
    <w:semiHidden/>
    <w:unhideWhenUsed/>
    <w:rsid w:val="007F4087"/>
    <w:rPr>
      <w:b/>
      <w:bCs/>
    </w:rPr>
  </w:style>
  <w:style w:type="character" w:customStyle="1" w:styleId="TematkomentarzaZnak">
    <w:name w:val="Temat komentarza Znak"/>
    <w:basedOn w:val="TekstkomentarzaZnak"/>
    <w:link w:val="Tematkomentarza"/>
    <w:uiPriority w:val="99"/>
    <w:semiHidden/>
    <w:rsid w:val="007F4087"/>
    <w:rPr>
      <w:rFonts w:ascii="Calibri" w:hAnsi="Calibri" w:cs="Calibri"/>
      <w:b/>
      <w:bCs/>
      <w:sz w:val="20"/>
      <w:szCs w:val="20"/>
      <w:lang w:eastAsia="en-GB"/>
    </w:rPr>
  </w:style>
  <w:style w:type="paragraph" w:customStyle="1" w:styleId="pf0">
    <w:name w:val="pf0"/>
    <w:basedOn w:val="Normalny"/>
    <w:rsid w:val="0016243C"/>
    <w:pPr>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cf01">
    <w:name w:val="cf01"/>
    <w:basedOn w:val="Domylnaczcionkaakapitu"/>
    <w:rsid w:val="0016243C"/>
    <w:rPr>
      <w:rFonts w:ascii="Segoe UI" w:hAnsi="Segoe UI" w:cs="Segoe UI" w:hint="default"/>
      <w:color w:val="262626"/>
      <w:sz w:val="21"/>
      <w:szCs w:val="21"/>
    </w:rPr>
  </w:style>
  <w:style w:type="paragraph" w:styleId="Tekstdymka">
    <w:name w:val="Balloon Text"/>
    <w:basedOn w:val="Normalny"/>
    <w:link w:val="TekstdymkaZnak"/>
    <w:uiPriority w:val="99"/>
    <w:semiHidden/>
    <w:unhideWhenUsed/>
    <w:rsid w:val="00514B3B"/>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4B3B"/>
    <w:rPr>
      <w:rFonts w:ascii="Segoe UI" w:hAnsi="Segoe UI" w:cs="Segoe UI"/>
      <w:sz w:val="18"/>
      <w:szCs w:val="18"/>
      <w:lang w:eastAsia="en-GB"/>
    </w:rPr>
  </w:style>
  <w:style w:type="character" w:styleId="Nierozpoznanawzmianka">
    <w:name w:val="Unresolved Mention"/>
    <w:basedOn w:val="Domylnaczcionkaakapitu"/>
    <w:uiPriority w:val="99"/>
    <w:semiHidden/>
    <w:unhideWhenUsed/>
    <w:rsid w:val="00C448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031913">
      <w:bodyDiv w:val="1"/>
      <w:marLeft w:val="0"/>
      <w:marRight w:val="0"/>
      <w:marTop w:val="0"/>
      <w:marBottom w:val="0"/>
      <w:divBdr>
        <w:top w:val="none" w:sz="0" w:space="0" w:color="auto"/>
        <w:left w:val="none" w:sz="0" w:space="0" w:color="auto"/>
        <w:bottom w:val="none" w:sz="0" w:space="0" w:color="auto"/>
        <w:right w:val="none" w:sz="0" w:space="0" w:color="auto"/>
      </w:divBdr>
    </w:div>
    <w:div w:id="1293095442">
      <w:bodyDiv w:val="1"/>
      <w:marLeft w:val="0"/>
      <w:marRight w:val="0"/>
      <w:marTop w:val="0"/>
      <w:marBottom w:val="0"/>
      <w:divBdr>
        <w:top w:val="none" w:sz="0" w:space="0" w:color="auto"/>
        <w:left w:val="none" w:sz="0" w:space="0" w:color="auto"/>
        <w:bottom w:val="none" w:sz="0" w:space="0" w:color="auto"/>
        <w:right w:val="none" w:sz="0" w:space="0" w:color="auto"/>
      </w:divBdr>
    </w:div>
    <w:div w:id="1334457845">
      <w:bodyDiv w:val="1"/>
      <w:marLeft w:val="0"/>
      <w:marRight w:val="0"/>
      <w:marTop w:val="0"/>
      <w:marBottom w:val="0"/>
      <w:divBdr>
        <w:top w:val="none" w:sz="0" w:space="0" w:color="auto"/>
        <w:left w:val="none" w:sz="0" w:space="0" w:color="auto"/>
        <w:bottom w:val="none" w:sz="0" w:space="0" w:color="auto"/>
        <w:right w:val="none" w:sz="0" w:space="0" w:color="auto"/>
      </w:divBdr>
    </w:div>
    <w:div w:id="1400061023">
      <w:bodyDiv w:val="1"/>
      <w:marLeft w:val="0"/>
      <w:marRight w:val="0"/>
      <w:marTop w:val="0"/>
      <w:marBottom w:val="0"/>
      <w:divBdr>
        <w:top w:val="none" w:sz="0" w:space="0" w:color="auto"/>
        <w:left w:val="none" w:sz="0" w:space="0" w:color="auto"/>
        <w:bottom w:val="none" w:sz="0" w:space="0" w:color="auto"/>
        <w:right w:val="none" w:sz="0" w:space="0" w:color="auto"/>
      </w:divBdr>
    </w:div>
    <w:div w:id="1700086475">
      <w:bodyDiv w:val="1"/>
      <w:marLeft w:val="0"/>
      <w:marRight w:val="0"/>
      <w:marTop w:val="0"/>
      <w:marBottom w:val="0"/>
      <w:divBdr>
        <w:top w:val="none" w:sz="0" w:space="0" w:color="auto"/>
        <w:left w:val="none" w:sz="0" w:space="0" w:color="auto"/>
        <w:bottom w:val="none" w:sz="0" w:space="0" w:color="auto"/>
        <w:right w:val="none" w:sz="0" w:space="0" w:color="auto"/>
      </w:divBdr>
    </w:div>
    <w:div w:id="1792672311">
      <w:bodyDiv w:val="1"/>
      <w:marLeft w:val="0"/>
      <w:marRight w:val="0"/>
      <w:marTop w:val="0"/>
      <w:marBottom w:val="0"/>
      <w:divBdr>
        <w:top w:val="none" w:sz="0" w:space="0" w:color="auto"/>
        <w:left w:val="none" w:sz="0" w:space="0" w:color="auto"/>
        <w:bottom w:val="none" w:sz="0" w:space="0" w:color="auto"/>
        <w:right w:val="none" w:sz="0" w:space="0" w:color="auto"/>
      </w:divBdr>
    </w:div>
    <w:div w:id="2004700617">
      <w:bodyDiv w:val="1"/>
      <w:marLeft w:val="0"/>
      <w:marRight w:val="0"/>
      <w:marTop w:val="0"/>
      <w:marBottom w:val="0"/>
      <w:divBdr>
        <w:top w:val="none" w:sz="0" w:space="0" w:color="auto"/>
        <w:left w:val="none" w:sz="0" w:space="0" w:color="auto"/>
        <w:bottom w:val="none" w:sz="0" w:space="0" w:color="auto"/>
        <w:right w:val="none" w:sz="0" w:space="0" w:color="auto"/>
      </w:divBdr>
    </w:div>
    <w:div w:id="2047412418">
      <w:bodyDiv w:val="1"/>
      <w:marLeft w:val="0"/>
      <w:marRight w:val="0"/>
      <w:marTop w:val="0"/>
      <w:marBottom w:val="0"/>
      <w:divBdr>
        <w:top w:val="none" w:sz="0" w:space="0" w:color="auto"/>
        <w:left w:val="none" w:sz="0" w:space="0" w:color="auto"/>
        <w:bottom w:val="none" w:sz="0" w:space="0" w:color="auto"/>
        <w:right w:val="none" w:sz="0" w:space="0" w:color="auto"/>
      </w:divBdr>
    </w:div>
    <w:div w:id="209493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hyperlink" Target="mailto:savillsim@citigatedewerogerso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A0B10E74AE704BB2D005BC6525CDF8" ma:contentTypeVersion="" ma:contentTypeDescription="Create a new document." ma:contentTypeScope="" ma:versionID="6cfa1faabde20d1c1ce714732507a70f">
  <xsd:schema xmlns:xsd="http://www.w3.org/2001/XMLSchema" xmlns:xs="http://www.w3.org/2001/XMLSchema" xmlns:p="http://schemas.microsoft.com/office/2006/metadata/properties" xmlns:ns2="705c1413-9570-45f1-8dc1-b76486c94026" xmlns:ns3="7c3de73e-2116-4fe2-8d4d-b4b9967d833d" targetNamespace="http://schemas.microsoft.com/office/2006/metadata/properties" ma:root="true" ma:fieldsID="abe9795f8507838d2ae981f7fd2a28c2" ns2:_="" ns3:_="">
    <xsd:import namespace="705c1413-9570-45f1-8dc1-b76486c94026"/>
    <xsd:import namespace="7c3de73e-2116-4fe2-8d4d-b4b9967d833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5c1413-9570-45f1-8dc1-b76486c9402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65a9d63-093e-48f3-972d-a5cc632bca39}" ma:internalName="TaxCatchAll" ma:showField="CatchAllData" ma:web="705c1413-9570-45f1-8dc1-b76486c9402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c3de73e-2116-4fe2-8d4d-b4b9967d833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85bd8b0-e6f1-4a7c-b776-3fcf2def21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c3de73e-2116-4fe2-8d4d-b4b9967d833d">
      <Terms xmlns="http://schemas.microsoft.com/office/infopath/2007/PartnerControls"/>
    </lcf76f155ced4ddcb4097134ff3c332f>
    <TaxCatchAll xmlns="705c1413-9570-45f1-8dc1-b76486c94026" xsi:nil="true"/>
    <SharedWithUsers xmlns="705c1413-9570-45f1-8dc1-b76486c94026">
      <UserInfo>
        <DisplayName>Jacob Berry</DisplayName>
        <AccountId>4058</AccountId>
        <AccountType/>
      </UserInfo>
      <UserInfo>
        <DisplayName>Laurent Vouin</DisplayName>
        <AccountId>562</AccountId>
        <AccountType/>
      </UserInfo>
    </SharedWithUsers>
  </documentManagement>
</p:properties>
</file>

<file path=customXml/itemProps1.xml><?xml version="1.0" encoding="utf-8"?>
<ds:datastoreItem xmlns:ds="http://schemas.openxmlformats.org/officeDocument/2006/customXml" ds:itemID="{1FDB3989-8496-4C72-BEFC-231F71D1B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5c1413-9570-45f1-8dc1-b76486c94026"/>
    <ds:schemaRef ds:uri="7c3de73e-2116-4fe2-8d4d-b4b9967d83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BA6B23-3F6B-4260-AFAB-A597E82538A1}">
  <ds:schemaRefs>
    <ds:schemaRef ds:uri="http://schemas.microsoft.com/sharepoint/v3/contenttype/forms"/>
  </ds:schemaRefs>
</ds:datastoreItem>
</file>

<file path=customXml/itemProps3.xml><?xml version="1.0" encoding="utf-8"?>
<ds:datastoreItem xmlns:ds="http://schemas.openxmlformats.org/officeDocument/2006/customXml" ds:itemID="{D5265BA4-0172-4757-A17B-C6CCF2D4F776}">
  <ds:schemaRefs>
    <ds:schemaRef ds:uri="http://schemas.microsoft.com/office/2006/metadata/properties"/>
    <ds:schemaRef ds:uri="http://schemas.microsoft.com/office/infopath/2007/PartnerControls"/>
    <ds:schemaRef ds:uri="7c3de73e-2116-4fe2-8d4d-b4b9967d833d"/>
    <ds:schemaRef ds:uri="705c1413-9570-45f1-8dc1-b76486c94026"/>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1782</Words>
  <Characters>10698</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Gardner</dc:creator>
  <cp:keywords/>
  <dc:description/>
  <cp:lastModifiedBy>Krzysztof Wielgus</cp:lastModifiedBy>
  <cp:revision>6</cp:revision>
  <dcterms:created xsi:type="dcterms:W3CDTF">2023-11-23T13:35:00Z</dcterms:created>
  <dcterms:modified xsi:type="dcterms:W3CDTF">2023-12-04T09:52:00Z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0x010100B4A0B10E74AE704BB2D005BC6525CDF8</vt:lpwstr>
  </property>
  <property fmtid="{D5CDD505-2E9C-101B-9397-08002B2CF9AE}" pid="3" name="MediaServiceImageTags">
    <vt:lpwstr/>
  </property>
</Properties>
</file>